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1F7D" w14:textId="62417CEC" w:rsidR="00F42283" w:rsidRDefault="00F42283" w:rsidP="008274EB">
      <w:pPr>
        <w:pStyle w:val="Heading1"/>
        <w:jc w:val="center"/>
      </w:pPr>
      <w:bookmarkStart w:id="0" w:name="_GoBack"/>
      <w:bookmarkEnd w:id="0"/>
      <w:r>
        <w:t>Covid-19 clinic guidance</w:t>
      </w:r>
    </w:p>
    <w:p w14:paraId="19A2EA27" w14:textId="2F918038" w:rsidR="008274EB" w:rsidRPr="008274EB" w:rsidRDefault="008274EB" w:rsidP="008274EB">
      <w:pPr>
        <w:pStyle w:val="NoSpacing"/>
        <w:rPr>
          <w:b/>
          <w:lang w:eastAsia="en-GB"/>
        </w:rPr>
      </w:pPr>
      <w:r w:rsidRPr="008274EB">
        <w:rPr>
          <w:b/>
          <w:lang w:eastAsia="en-GB"/>
        </w:rPr>
        <w:t xml:space="preserve">Asymptomatic screens </w:t>
      </w:r>
    </w:p>
    <w:p w14:paraId="25BFD214" w14:textId="1EB58D5D" w:rsidR="008274EB" w:rsidRDefault="008274EB" w:rsidP="008274EB">
      <w:pPr>
        <w:pStyle w:val="NormalWeb"/>
        <w:numPr>
          <w:ilvl w:val="0"/>
          <w:numId w:val="9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Under 25s free chlamydia screening service in Bucks  is </w:t>
      </w:r>
      <w:hyperlink r:id="rId7" w:tooltip="https://www.tht.org.uk/our-services/phone-and-post/free-chlamydia-postal-test-kits&#10;Ctrl+Click or tap to follow the link" w:history="1">
        <w:r>
          <w:rPr>
            <w:rStyle w:val="Hyperlink"/>
            <w:rFonts w:ascii="Calibri" w:hAnsi="Calibri"/>
          </w:rPr>
          <w:t>https://www.tht.org.uk/our-services/phone-and-post/free-chlamydia-postal-test-kits</w:t>
        </w:r>
      </w:hyperlink>
      <w:r>
        <w:rPr>
          <w:rFonts w:ascii="Calibri" w:hAnsi="Calibri"/>
          <w:color w:val="000000"/>
        </w:rPr>
        <w:t> </w:t>
      </w:r>
    </w:p>
    <w:p w14:paraId="4AEB0C7A" w14:textId="77777777" w:rsidR="008274EB" w:rsidRDefault="008274EB" w:rsidP="008274EB">
      <w:pPr>
        <w:pStyle w:val="NormalWeb"/>
        <w:rPr>
          <w:rFonts w:ascii="Calibri" w:hAnsi="Calibri"/>
          <w:color w:val="000000"/>
        </w:rPr>
      </w:pPr>
    </w:p>
    <w:p w14:paraId="364A7B8A" w14:textId="77777777" w:rsidR="008274EB" w:rsidRDefault="008274EB" w:rsidP="008274EB">
      <w:pPr>
        <w:pStyle w:val="NormalWeb"/>
        <w:numPr>
          <w:ilvl w:val="0"/>
          <w:numId w:val="9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 asymptomatic over 25s who want a screen (but not free) options include</w:t>
      </w:r>
    </w:p>
    <w:p w14:paraId="62722117" w14:textId="77777777" w:rsidR="008274EB" w:rsidRDefault="00CC2F29" w:rsidP="008274EB">
      <w:pPr>
        <w:pStyle w:val="NormalWeb"/>
        <w:rPr>
          <w:rFonts w:ascii="Calibri" w:hAnsi="Calibri"/>
          <w:color w:val="000000"/>
        </w:rPr>
      </w:pPr>
      <w:hyperlink r:id="rId8" w:history="1">
        <w:r w:rsidR="008274EB">
          <w:rPr>
            <w:rStyle w:val="Hyperlink"/>
            <w:rFonts w:ascii="Calibri" w:hAnsi="Calibri"/>
          </w:rPr>
          <w:t>https://onlinedoctor.lloydspharmacy.com/uk/sti-tests</w:t>
        </w:r>
      </w:hyperlink>
    </w:p>
    <w:p w14:paraId="4F6C65E4" w14:textId="77777777" w:rsidR="008274EB" w:rsidRDefault="00CC2F29" w:rsidP="008274EB">
      <w:pPr>
        <w:pStyle w:val="NormalWeb"/>
        <w:rPr>
          <w:rFonts w:ascii="Calibri" w:hAnsi="Calibri"/>
          <w:color w:val="000000"/>
        </w:rPr>
      </w:pPr>
      <w:hyperlink r:id="rId9" w:history="1">
        <w:r w:rsidR="008274EB">
          <w:rPr>
            <w:rStyle w:val="Hyperlink"/>
            <w:rFonts w:ascii="Calibri" w:hAnsi="Calibri"/>
          </w:rPr>
          <w:t>https://fettle.health/</w:t>
        </w:r>
      </w:hyperlink>
      <w:r w:rsidR="008274EB">
        <w:rPr>
          <w:rFonts w:ascii="Calibri" w:hAnsi="Calibri"/>
          <w:color w:val="000000"/>
        </w:rPr>
        <w:t xml:space="preserve"> (the PAYG branch of SH 24)</w:t>
      </w:r>
    </w:p>
    <w:p w14:paraId="0C8DC34F" w14:textId="77777777" w:rsidR="008274EB" w:rsidRDefault="00CC2F29" w:rsidP="008274EB">
      <w:pPr>
        <w:pStyle w:val="NormalWeb"/>
        <w:rPr>
          <w:rFonts w:ascii="Calibri" w:hAnsi="Calibri"/>
          <w:color w:val="000000"/>
        </w:rPr>
      </w:pPr>
      <w:hyperlink r:id="rId10" w:history="1">
        <w:r w:rsidR="008274EB">
          <w:rPr>
            <w:rStyle w:val="Hyperlink"/>
            <w:rFonts w:ascii="Calibri" w:hAnsi="Calibri"/>
          </w:rPr>
          <w:t>https://www.zavamed.com/uk/</w:t>
        </w:r>
      </w:hyperlink>
      <w:r w:rsidR="008274EB">
        <w:rPr>
          <w:rFonts w:ascii="Calibri" w:hAnsi="Calibri"/>
          <w:color w:val="000000"/>
        </w:rPr>
        <w:t>​</w:t>
      </w:r>
    </w:p>
    <w:p w14:paraId="35FCF9C9" w14:textId="77777777" w:rsidR="008274EB" w:rsidRDefault="008274EB" w:rsidP="00CA2BA8">
      <w:pPr>
        <w:jc w:val="center"/>
        <w:rPr>
          <w:b/>
          <w:bCs/>
        </w:rPr>
      </w:pPr>
    </w:p>
    <w:p w14:paraId="550C177B" w14:textId="4AD22D71" w:rsidR="005670E4" w:rsidRPr="00AD5A71" w:rsidRDefault="00CA2BA8" w:rsidP="00AD5A71">
      <w:pPr>
        <w:pStyle w:val="NoSpacing"/>
        <w:rPr>
          <w:b/>
        </w:rPr>
      </w:pPr>
      <w:r w:rsidRPr="00AD5A71">
        <w:rPr>
          <w:b/>
        </w:rPr>
        <w:t>For all patients:</w:t>
      </w:r>
    </w:p>
    <w:p w14:paraId="4BED9D4E" w14:textId="77777777" w:rsidR="00CA2BA8" w:rsidRPr="00161BF8" w:rsidRDefault="00CA2BA8" w:rsidP="00AD5A71">
      <w:pPr>
        <w:pStyle w:val="NoSpacing"/>
        <w:jc w:val="center"/>
        <w:rPr>
          <w:b/>
          <w:color w:val="FF0000"/>
        </w:rPr>
      </w:pPr>
      <w:r w:rsidRPr="00161BF8">
        <w:rPr>
          <w:b/>
          <w:color w:val="FF0000"/>
        </w:rPr>
        <w:t>Do you have a high fever or a new persistent cough?</w:t>
      </w:r>
    </w:p>
    <w:p w14:paraId="75B88815" w14:textId="77777777" w:rsidR="00CA2BA8" w:rsidRPr="00161BF8" w:rsidRDefault="00CA2BA8" w:rsidP="00AD5A71">
      <w:pPr>
        <w:pStyle w:val="NoSpacing"/>
        <w:jc w:val="center"/>
        <w:rPr>
          <w:b/>
          <w:color w:val="FF0000"/>
        </w:rPr>
      </w:pPr>
      <w:r w:rsidRPr="00161BF8">
        <w:rPr>
          <w:b/>
          <w:color w:val="FF0000"/>
        </w:rPr>
        <w:t>Does a member of your household have a high fever or new persistent cough?</w:t>
      </w:r>
    </w:p>
    <w:p w14:paraId="5A800E25" w14:textId="77777777" w:rsidR="00AD5A71" w:rsidRDefault="00AD5A71" w:rsidP="00B702CE">
      <w:pPr>
        <w:pStyle w:val="NoSpacing"/>
        <w:rPr>
          <w:b/>
        </w:rPr>
      </w:pPr>
    </w:p>
    <w:p w14:paraId="43498A29" w14:textId="2BFF2265" w:rsidR="00841E64" w:rsidRDefault="00B702CE" w:rsidP="00161BF8">
      <w:pPr>
        <w:pStyle w:val="NoSpacing"/>
        <w:ind w:firstLine="720"/>
        <w:rPr>
          <w:b/>
        </w:rPr>
      </w:pPr>
      <w:r>
        <w:rPr>
          <w:b/>
        </w:rPr>
        <w:t>In all situations take the history by phone so when patient attends</w:t>
      </w:r>
      <w:r w:rsidR="00161BF8">
        <w:rPr>
          <w:b/>
        </w:rPr>
        <w:t>,</w:t>
      </w:r>
      <w:r>
        <w:rPr>
          <w:b/>
        </w:rPr>
        <w:t xml:space="preserve"> just for tests and treatment</w:t>
      </w:r>
    </w:p>
    <w:p w14:paraId="77461C89" w14:textId="77777777" w:rsidR="00B702CE" w:rsidRDefault="00B702CE" w:rsidP="00B702CE">
      <w:pPr>
        <w:pStyle w:val="NoSpacing"/>
      </w:pPr>
      <w:r w:rsidRPr="00B702CE">
        <w:t>Actively slow down and tell patient you are going to write down- gives pause to consider other questions?</w:t>
      </w:r>
    </w:p>
    <w:p w14:paraId="57C1A536" w14:textId="77777777" w:rsidR="00B702CE" w:rsidRPr="00B702CE" w:rsidRDefault="00B702CE" w:rsidP="00B702CE">
      <w:pPr>
        <w:pStyle w:val="NoSpacing"/>
      </w:pPr>
    </w:p>
    <w:p w14:paraId="3AEBE2C2" w14:textId="193250B3" w:rsidR="00B702CE" w:rsidRPr="00B702CE" w:rsidRDefault="00B702CE" w:rsidP="00B702CE">
      <w:pPr>
        <w:pStyle w:val="NoSpacing"/>
      </w:pPr>
      <w:r w:rsidRPr="00B702CE">
        <w:t xml:space="preserve">Put the phone on loud speaker and then you have 2 hands to record in </w:t>
      </w:r>
      <w:r w:rsidR="00AD5A71">
        <w:t>notes if they have notes or on L</w:t>
      </w:r>
      <w:r w:rsidRPr="00B702CE">
        <w:t>ilie in consultations if no notes</w:t>
      </w:r>
    </w:p>
    <w:p w14:paraId="0666F3AA" w14:textId="77777777" w:rsidR="00CA2BA8" w:rsidRDefault="00CA2BA8" w:rsidP="00CA2BA8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C7AE6" wp14:editId="5EC39A1A">
                <wp:simplePos x="0" y="0"/>
                <wp:positionH relativeFrom="column">
                  <wp:posOffset>3526155</wp:posOffset>
                </wp:positionH>
                <wp:positionV relativeFrom="paragraph">
                  <wp:posOffset>313055</wp:posOffset>
                </wp:positionV>
                <wp:extent cx="2374265" cy="1403985"/>
                <wp:effectExtent l="0" t="0" r="2286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5FD1C" w14:textId="77777777" w:rsidR="00CA2BA8" w:rsidRDefault="00CA2BA8" w:rsidP="00CA2BA8">
                            <w:r>
                              <w:t>NO</w:t>
                            </w:r>
                          </w:p>
                          <w:p w14:paraId="231BF9F5" w14:textId="77777777" w:rsidR="00CA2BA8" w:rsidRDefault="00CA2BA8" w:rsidP="00CA2BA8">
                            <w:r>
                              <w:t>See options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65pt;margin-top:24.6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">
                <v:textbox style="mso-fit-shape-to-text:t">
                  <w:txbxContent>
                    <w:p w14:paraId="6695FD1C" w14:textId="77777777" w:rsidR="00CA2BA8" w:rsidRDefault="00CA2BA8" w:rsidP="00CA2BA8">
                      <w:r>
                        <w:t>NO</w:t>
                      </w:r>
                    </w:p>
                    <w:p w14:paraId="231BF9F5" w14:textId="77777777" w:rsidR="00CA2BA8" w:rsidRDefault="00CA2BA8" w:rsidP="00CA2BA8">
                      <w:r>
                        <w:t>See options below.</w:t>
                      </w:r>
                    </w:p>
                  </w:txbxContent>
                </v:textbox>
              </v:shape>
            </w:pict>
          </mc:Fallback>
        </mc:AlternateContent>
      </w:r>
    </w:p>
    <w:p w14:paraId="369E634D" w14:textId="77777777" w:rsidR="00CA2BA8" w:rsidRDefault="00841E64" w:rsidP="00CA2BA8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BBB67" wp14:editId="24511DBC">
                <wp:simplePos x="0" y="0"/>
                <wp:positionH relativeFrom="column">
                  <wp:posOffset>142875</wp:posOffset>
                </wp:positionH>
                <wp:positionV relativeFrom="paragraph">
                  <wp:posOffset>1255395</wp:posOffset>
                </wp:positionV>
                <wp:extent cx="6381750" cy="4476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F7003" w14:textId="77777777" w:rsidR="00CA21B4" w:rsidRPr="00CA21B4" w:rsidRDefault="00CA21B4" w:rsidP="00841E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21B4">
                              <w:rPr>
                                <w:b/>
                              </w:rPr>
                              <w:t>Young people (under 18) and vulnerable adults should be seen unless self isolating.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.25pt;margin-top:98.85pt;width:502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">
                <v:textbox>
                  <w:txbxContent>
                    <w:p w14:paraId="550F7003" w14:textId="77777777" w:rsidR="00CA21B4" w:rsidRPr="00CA21B4" w:rsidRDefault="00CA21B4" w:rsidP="00841E64">
                      <w:pPr>
                        <w:jc w:val="center"/>
                        <w:rPr>
                          <w:b/>
                        </w:rPr>
                      </w:pPr>
                      <w:r w:rsidRPr="00CA21B4">
                        <w:rPr>
                          <w:b/>
                        </w:rPr>
                        <w:t xml:space="preserve">Young people (under 18) and vulnerable adults should be seen unless </w:t>
                      </w:r>
                      <w:proofErr w:type="spellStart"/>
                      <w:r w:rsidRPr="00CA21B4">
                        <w:rPr>
                          <w:b/>
                        </w:rPr>
                        <w:t>self isolating</w:t>
                      </w:r>
                      <w:proofErr w:type="spellEnd"/>
                      <w:r w:rsidRPr="00CA21B4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E7B6E" wp14:editId="16020567">
                <wp:simplePos x="0" y="0"/>
                <wp:positionH relativeFrom="column">
                  <wp:posOffset>316230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32881" w14:textId="77777777" w:rsidR="00CA2BA8" w:rsidRDefault="00CA2BA8">
                            <w:r>
                              <w:t>YES</w:t>
                            </w:r>
                          </w:p>
                          <w:p w14:paraId="5F05B4E7" w14:textId="77777777" w:rsidR="00CA2BA8" w:rsidRDefault="00CA2BA8">
                            <w:r>
                              <w:t>Need to self isolate so cannot be seen here. See Options for self-isolating people section.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.9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">
                <v:textbox style="mso-fit-shape-to-text:t">
                  <w:txbxContent>
                    <w:p w14:paraId="29132881" w14:textId="77777777" w:rsidR="00CA2BA8" w:rsidRDefault="00CA2BA8">
                      <w:r>
                        <w:t>YES</w:t>
                      </w:r>
                    </w:p>
                    <w:p w14:paraId="5F05B4E7" w14:textId="77777777" w:rsidR="00CA2BA8" w:rsidRDefault="00CA2BA8">
                      <w:r>
                        <w:t xml:space="preserve">Need to </w:t>
                      </w:r>
                      <w:proofErr w:type="spellStart"/>
                      <w:r>
                        <w:t>self isolate</w:t>
                      </w:r>
                      <w:proofErr w:type="spellEnd"/>
                      <w:r>
                        <w:t xml:space="preserve"> so cannot be seen here. See Options for self-isolating people section.</w:t>
                      </w:r>
                    </w:p>
                  </w:txbxContent>
                </v:textbox>
              </v:shape>
            </w:pict>
          </mc:Fallback>
        </mc:AlternateContent>
      </w:r>
      <w:r w:rsidR="00CA2BA8">
        <w:tab/>
      </w:r>
      <w:r w:rsidR="00CA2BA8">
        <w:tab/>
      </w:r>
      <w:r w:rsidR="00CA2BA8">
        <w:tab/>
      </w:r>
      <w:r w:rsidR="00CA2BA8">
        <w:tab/>
      </w:r>
      <w:r w:rsidR="00CA2BA8">
        <w:tab/>
      </w:r>
      <w:r w:rsidR="00CA2BA8">
        <w:tab/>
      </w:r>
      <w:r w:rsidR="00CA2BA8">
        <w:tab/>
      </w:r>
      <w:r w:rsidR="00CA2BA8">
        <w:tab/>
      </w:r>
      <w:r w:rsidR="00CA2BA8">
        <w:tab/>
      </w:r>
      <w:r w:rsidR="00CA2BA8">
        <w:tab/>
      </w:r>
      <w:r w:rsidR="00CA2BA8">
        <w:tab/>
      </w:r>
      <w:r w:rsidR="00CA2BA8">
        <w:tab/>
      </w:r>
      <w:r w:rsidR="00CA2BA8">
        <w:tab/>
      </w:r>
    </w:p>
    <w:tbl>
      <w:tblPr>
        <w:tblStyle w:val="GridTable5DarkAccent1"/>
        <w:tblpPr w:leftFromText="180" w:rightFromText="180" w:vertAnchor="text" w:horzAnchor="margin" w:tblpY="2307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4394"/>
      </w:tblGrid>
      <w:tr w:rsidR="00CA2BA8" w14:paraId="63FA1628" w14:textId="77777777" w:rsidTr="00AD5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55450B2" w14:textId="77777777" w:rsidR="00CA2BA8" w:rsidRDefault="00CA2BA8" w:rsidP="00CA2BA8">
            <w:pPr>
              <w:jc w:val="center"/>
            </w:pPr>
            <w:r>
              <w:t>Condition</w:t>
            </w:r>
          </w:p>
        </w:tc>
        <w:tc>
          <w:tcPr>
            <w:tcW w:w="3685" w:type="dxa"/>
          </w:tcPr>
          <w:p w14:paraId="3EA8A0B2" w14:textId="77777777" w:rsidR="00CA2BA8" w:rsidRDefault="00CA2BA8" w:rsidP="00CA2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Options</w:t>
            </w:r>
          </w:p>
        </w:tc>
        <w:tc>
          <w:tcPr>
            <w:tcW w:w="4394" w:type="dxa"/>
          </w:tcPr>
          <w:p w14:paraId="66299305" w14:textId="77777777" w:rsidR="00CA2BA8" w:rsidRDefault="00CA2BA8" w:rsidP="00CA2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Options if self isolating</w:t>
            </w:r>
          </w:p>
        </w:tc>
      </w:tr>
      <w:tr w:rsidR="00CA2BA8" w14:paraId="0FA6F7F4" w14:textId="77777777" w:rsidTr="00A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C30F997" w14:textId="77777777" w:rsidR="00CA2BA8" w:rsidRDefault="00CA2BA8" w:rsidP="00CA2BA8">
            <w:pPr>
              <w:jc w:val="center"/>
            </w:pPr>
            <w:r>
              <w:t>Vaginal discharge</w:t>
            </w:r>
          </w:p>
        </w:tc>
        <w:tc>
          <w:tcPr>
            <w:tcW w:w="3685" w:type="dxa"/>
          </w:tcPr>
          <w:p w14:paraId="4DE3CF66" w14:textId="77777777" w:rsidR="00DC04F9" w:rsidRDefault="00DC04F9" w:rsidP="00DC0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Check no retained foreign body eg tampon.</w:t>
            </w:r>
          </w:p>
          <w:p w14:paraId="37986914" w14:textId="77777777" w:rsidR="00CA2BA8" w:rsidRDefault="00CA2BA8" w:rsidP="00DC0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OTC treatment (clotrimazole pessary or fluconazole tablet for candida/lactic acid gel for BV).</w:t>
            </w:r>
          </w:p>
          <w:p w14:paraId="6D03E2C1" w14:textId="77777777" w:rsidR="00CA2BA8" w:rsidRDefault="00CA2BA8" w:rsidP="003C5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pregnant, option for medication by post. </w:t>
            </w:r>
          </w:p>
        </w:tc>
        <w:tc>
          <w:tcPr>
            <w:tcW w:w="4394" w:type="dxa"/>
          </w:tcPr>
          <w:p w14:paraId="491EF2AF" w14:textId="77777777" w:rsidR="00DC04F9" w:rsidRDefault="00DC04F9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Check no retained foreign body eg tampon.</w:t>
            </w:r>
          </w:p>
          <w:p w14:paraId="4351050E" w14:textId="77777777" w:rsidR="00CA2BA8" w:rsidRDefault="00CA2BA8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Ask friend/relative who is not self-isolating to obtain treatment from community pharmacy</w:t>
            </w:r>
            <w:r w:rsidR="00796D9D">
              <w:t xml:space="preserve">. </w:t>
            </w:r>
          </w:p>
          <w:p w14:paraId="163BCFFE" w14:textId="77777777" w:rsidR="00796D9D" w:rsidRDefault="00796D9D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pregnant, can be booked in to clinic</w:t>
            </w:r>
            <w:r w:rsidR="00C92AE9">
              <w:t xml:space="preserve"> / medication by post</w:t>
            </w:r>
            <w:r>
              <w:t>.</w:t>
            </w:r>
          </w:p>
        </w:tc>
      </w:tr>
      <w:tr w:rsidR="00CA2BA8" w14:paraId="34CF2FD0" w14:textId="77777777" w:rsidTr="00A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382F35B" w14:textId="77777777" w:rsidR="00CA2BA8" w:rsidRDefault="00796D9D" w:rsidP="00CA2BA8">
            <w:pPr>
              <w:jc w:val="center"/>
            </w:pPr>
            <w:r>
              <w:t>Lower abdominal pain with bleeding or dyspareunia</w:t>
            </w:r>
          </w:p>
        </w:tc>
        <w:tc>
          <w:tcPr>
            <w:tcW w:w="3685" w:type="dxa"/>
          </w:tcPr>
          <w:p w14:paraId="21BEA7E0" w14:textId="77777777" w:rsidR="00CA2BA8" w:rsidRDefault="00796D9D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to be seen</w:t>
            </w:r>
            <w:r w:rsidR="0093070A">
              <w:t>.</w:t>
            </w:r>
          </w:p>
          <w:p w14:paraId="2A3B1099" w14:textId="77777777" w:rsidR="0093070A" w:rsidRDefault="0093070A" w:rsidP="0093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history suggestive of surgical cause or gynae issue, signpost to appropriate service: 111, GP, ED.</w:t>
            </w:r>
          </w:p>
          <w:p w14:paraId="36F8775A" w14:textId="77777777" w:rsidR="0093070A" w:rsidRDefault="0093070A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14:paraId="75079341" w14:textId="77777777" w:rsidR="00CA2BA8" w:rsidRDefault="00796D9D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red flags – 111 or 999</w:t>
            </w:r>
          </w:p>
          <w:p w14:paraId="3EA92378" w14:textId="77777777" w:rsidR="00796D9D" w:rsidRDefault="00796D9D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no, could friend/relative get a pregnancy test for them? If negative, could post doxycycline/metronidazole. </w:t>
            </w:r>
          </w:p>
          <w:p w14:paraId="79C279FF" w14:textId="77777777" w:rsidR="00796D9D" w:rsidRDefault="00796D9D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positive 111 as will need review by EPU but with contact precautions.</w:t>
            </w:r>
          </w:p>
        </w:tc>
      </w:tr>
      <w:tr w:rsidR="00CA2BA8" w14:paraId="50B2FCC2" w14:textId="77777777" w:rsidTr="00A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B6A01ED" w14:textId="77777777" w:rsidR="00CA2BA8" w:rsidRDefault="0093070A" w:rsidP="00CA2BA8">
            <w:pPr>
              <w:jc w:val="center"/>
            </w:pPr>
            <w:r>
              <w:t>Women with Dysuria</w:t>
            </w:r>
          </w:p>
        </w:tc>
        <w:tc>
          <w:tcPr>
            <w:tcW w:w="3685" w:type="dxa"/>
          </w:tcPr>
          <w:p w14:paraId="7CD89FE2" w14:textId="77777777" w:rsidR="00CA2BA8" w:rsidRDefault="0093070A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ulceration? If so and no previous HSV, book to be seen.</w:t>
            </w:r>
          </w:p>
          <w:p w14:paraId="1D7AA98C" w14:textId="77777777" w:rsidR="0093070A" w:rsidRDefault="0093070A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suggestion of pyelonephritis – call 111.</w:t>
            </w:r>
          </w:p>
          <w:p w14:paraId="05C730DC" w14:textId="77777777" w:rsidR="0093070A" w:rsidRDefault="0093070A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If neither of these, conservative treatment: fluids, pain relief, if no renal disease can use urinary alkalinizing agents (Na HCo3, cystitis relief sachets). If not better few day, 111. </w:t>
            </w:r>
          </w:p>
          <w:p w14:paraId="45AA28F6" w14:textId="77777777" w:rsidR="00812791" w:rsidRDefault="00812791" w:rsidP="008127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 Nitrofurantoin SR by post</w:t>
            </w:r>
          </w:p>
        </w:tc>
        <w:tc>
          <w:tcPr>
            <w:tcW w:w="4394" w:type="dxa"/>
          </w:tcPr>
          <w:p w14:paraId="2BF23252" w14:textId="77777777" w:rsidR="00CA2BA8" w:rsidRDefault="0093070A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Any ulceration?</w:t>
            </w:r>
            <w:r w:rsidR="00101E28">
              <w:t xml:space="preserve"> If fever and not clear whether ulcers consider whether secure way of sending photo.</w:t>
            </w:r>
            <w:r>
              <w:t xml:space="preserve"> If so and no p</w:t>
            </w:r>
            <w:r w:rsidR="00B702CE">
              <w:t>revious HSV, consider postal aci</w:t>
            </w:r>
            <w:r>
              <w:t>clovir.</w:t>
            </w:r>
          </w:p>
          <w:p w14:paraId="05813C2C" w14:textId="77777777" w:rsidR="0093070A" w:rsidRDefault="0093070A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Any suggestion of pyelonephritis – call 111.</w:t>
            </w:r>
          </w:p>
          <w:p w14:paraId="49EE294B" w14:textId="77777777" w:rsidR="0093070A" w:rsidRDefault="0093070A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neither of these, conservative treatment: fluids, pain relief, if no renal disease can use urinary alkalinizing agents (Na HCo3, cystitis relief sachets). If not better few day, 111.</w:t>
            </w:r>
          </w:p>
        </w:tc>
      </w:tr>
      <w:tr w:rsidR="00CA2BA8" w14:paraId="6D047840" w14:textId="77777777" w:rsidTr="00A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D97887F" w14:textId="77777777" w:rsidR="0093070A" w:rsidRPr="0093070A" w:rsidRDefault="0093070A" w:rsidP="0093070A">
            <w:pPr>
              <w:rPr>
                <w:bCs w:val="0"/>
              </w:rPr>
            </w:pPr>
            <w:r w:rsidRPr="0093070A">
              <w:lastRenderedPageBreak/>
              <w:t xml:space="preserve">Primary herpes simplex </w:t>
            </w:r>
          </w:p>
          <w:p w14:paraId="395C712A" w14:textId="77777777" w:rsidR="00CA2BA8" w:rsidRDefault="00CA2BA8" w:rsidP="00CA2BA8">
            <w:pPr>
              <w:jc w:val="center"/>
            </w:pPr>
          </w:p>
        </w:tc>
        <w:tc>
          <w:tcPr>
            <w:tcW w:w="3685" w:type="dxa"/>
          </w:tcPr>
          <w:p w14:paraId="2A6E2A02" w14:textId="77777777" w:rsidR="00CA2BA8" w:rsidRDefault="0093070A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to be seen.</w:t>
            </w:r>
          </w:p>
        </w:tc>
        <w:tc>
          <w:tcPr>
            <w:tcW w:w="4394" w:type="dxa"/>
          </w:tcPr>
          <w:p w14:paraId="5F4E48B8" w14:textId="77777777" w:rsidR="0093070A" w:rsidRDefault="0093070A" w:rsidP="0093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Recommend salt water bathing, regular analgesia.</w:t>
            </w:r>
            <w:r w:rsidR="00101E28">
              <w:t xml:space="preserve"> </w:t>
            </w:r>
          </w:p>
          <w:p w14:paraId="5948AB4F" w14:textId="77777777" w:rsidR="0093070A" w:rsidRDefault="0093070A" w:rsidP="0093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Advice regarding urinary retention.</w:t>
            </w:r>
          </w:p>
          <w:p w14:paraId="76386841" w14:textId="73584B63" w:rsidR="00CA2BA8" w:rsidRDefault="0093070A" w:rsidP="00AD5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Posted  aciclovir course.</w:t>
            </w:r>
          </w:p>
        </w:tc>
      </w:tr>
      <w:tr w:rsidR="00CA2BA8" w14:paraId="3E9526B0" w14:textId="77777777" w:rsidTr="00A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958CC94" w14:textId="01645735" w:rsidR="00CA2BA8" w:rsidRPr="00D813A9" w:rsidRDefault="0093070A" w:rsidP="00D813A9">
            <w:pPr>
              <w:rPr>
                <w:bCs w:val="0"/>
              </w:rPr>
            </w:pPr>
            <w:r w:rsidRPr="0093070A">
              <w:t xml:space="preserve">Male urethral discharge (new, STI risk) and/or men under 35 with dysuria/MSM with dysuria, </w:t>
            </w:r>
          </w:p>
        </w:tc>
        <w:tc>
          <w:tcPr>
            <w:tcW w:w="3685" w:type="dxa"/>
          </w:tcPr>
          <w:p w14:paraId="1EAD1FA3" w14:textId="77777777" w:rsidR="00CA2BA8" w:rsidRDefault="0093070A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to be seen.</w:t>
            </w:r>
          </w:p>
        </w:tc>
        <w:tc>
          <w:tcPr>
            <w:tcW w:w="4394" w:type="dxa"/>
          </w:tcPr>
          <w:p w14:paraId="72A369D5" w14:textId="77777777" w:rsidR="0093070A" w:rsidRDefault="0093070A" w:rsidP="0093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Await end of isolation period then call back to be booked in and reviewed.</w:t>
            </w:r>
          </w:p>
          <w:p w14:paraId="0220045F" w14:textId="77777777" w:rsidR="0093070A" w:rsidRDefault="0093070A" w:rsidP="0093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Avoid sex until seen.</w:t>
            </w:r>
          </w:p>
          <w:p w14:paraId="21546AE2" w14:textId="77777777" w:rsidR="00CA2BA8" w:rsidRDefault="00CA2BA8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2BA8" w14:paraId="6055FAB9" w14:textId="77777777" w:rsidTr="00A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AF9FC76" w14:textId="77777777" w:rsidR="0093070A" w:rsidRPr="0093070A" w:rsidRDefault="0093070A" w:rsidP="0093070A">
            <w:pPr>
              <w:rPr>
                <w:bCs w:val="0"/>
              </w:rPr>
            </w:pPr>
            <w:r w:rsidRPr="0093070A">
              <w:t>Scrotal pain/swelling ?epididymo-orchitis</w:t>
            </w:r>
          </w:p>
          <w:p w14:paraId="6357227E" w14:textId="77777777" w:rsidR="00CA2BA8" w:rsidRDefault="00CA2BA8" w:rsidP="00CA2BA8">
            <w:pPr>
              <w:jc w:val="center"/>
            </w:pPr>
          </w:p>
        </w:tc>
        <w:tc>
          <w:tcPr>
            <w:tcW w:w="3685" w:type="dxa"/>
          </w:tcPr>
          <w:p w14:paraId="20D31DB5" w14:textId="77777777" w:rsidR="00CA2BA8" w:rsidRDefault="0093070A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to be seen</w:t>
            </w:r>
          </w:p>
        </w:tc>
        <w:tc>
          <w:tcPr>
            <w:tcW w:w="4394" w:type="dxa"/>
          </w:tcPr>
          <w:p w14:paraId="5E276BBD" w14:textId="77777777" w:rsidR="00CA2BA8" w:rsidRDefault="0093070A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Severe and sudden pain (?torsion) 999</w:t>
            </w:r>
          </w:p>
          <w:p w14:paraId="73C82590" w14:textId="3A4E9288" w:rsidR="0093070A" w:rsidRDefault="00973946" w:rsidP="00AD5A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Persistent, needs review before end isolation: 111</w:t>
            </w:r>
          </w:p>
        </w:tc>
      </w:tr>
      <w:tr w:rsidR="00973946" w14:paraId="49DF350D" w14:textId="77777777" w:rsidTr="00A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D807D52" w14:textId="77777777" w:rsidR="00973946" w:rsidRPr="0093070A" w:rsidRDefault="00973946" w:rsidP="0093070A">
            <w:pPr>
              <w:rPr>
                <w:bCs w:val="0"/>
              </w:rPr>
            </w:pPr>
            <w:r>
              <w:t>Proctitis</w:t>
            </w:r>
          </w:p>
        </w:tc>
        <w:tc>
          <w:tcPr>
            <w:tcW w:w="3685" w:type="dxa"/>
          </w:tcPr>
          <w:p w14:paraId="2554A522" w14:textId="77777777" w:rsidR="00973946" w:rsidRDefault="00973946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to be seen</w:t>
            </w:r>
          </w:p>
        </w:tc>
        <w:tc>
          <w:tcPr>
            <w:tcW w:w="4394" w:type="dxa"/>
          </w:tcPr>
          <w:p w14:paraId="3B4FC3DF" w14:textId="77777777" w:rsidR="00973946" w:rsidRDefault="00973946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Call back after isolation ends to be seen. Avoid sex.</w:t>
            </w:r>
          </w:p>
          <w:p w14:paraId="7E1A1687" w14:textId="77777777" w:rsidR="00973946" w:rsidRDefault="00973946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severe: bleeding, pain, difficulty defecating: 111</w:t>
            </w:r>
          </w:p>
        </w:tc>
      </w:tr>
      <w:tr w:rsidR="00973946" w14:paraId="7F1797BE" w14:textId="77777777" w:rsidTr="00A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302FEE1" w14:textId="77777777" w:rsidR="00973946" w:rsidRDefault="00973946" w:rsidP="0093070A">
            <w:pPr>
              <w:rPr>
                <w:bCs w:val="0"/>
              </w:rPr>
            </w:pPr>
            <w:r>
              <w:t>Possible syphilis (painless ulcer, new rash with risk for syphilis, other symptoms suggestive secondary syphilis)</w:t>
            </w:r>
          </w:p>
        </w:tc>
        <w:tc>
          <w:tcPr>
            <w:tcW w:w="3685" w:type="dxa"/>
          </w:tcPr>
          <w:p w14:paraId="74F8B854" w14:textId="77777777" w:rsidR="00973946" w:rsidRDefault="00973946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to be seen</w:t>
            </w:r>
          </w:p>
        </w:tc>
        <w:tc>
          <w:tcPr>
            <w:tcW w:w="4394" w:type="dxa"/>
          </w:tcPr>
          <w:p w14:paraId="04C4705F" w14:textId="77777777" w:rsidR="00973946" w:rsidRDefault="00973946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back after isolation ends. Avoid sex. If develops headaches, visual symptoms, hearing loss/tinnitus: 111.</w:t>
            </w:r>
          </w:p>
        </w:tc>
      </w:tr>
      <w:tr w:rsidR="00812791" w14:paraId="41002CCF" w14:textId="77777777" w:rsidTr="00A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7254CCF" w14:textId="77777777" w:rsidR="00812791" w:rsidRDefault="00812791" w:rsidP="0093070A">
            <w:pPr>
              <w:rPr>
                <w:bCs w:val="0"/>
              </w:rPr>
            </w:pPr>
            <w:r>
              <w:t>Chlamydia positive NAAT</w:t>
            </w:r>
          </w:p>
        </w:tc>
        <w:tc>
          <w:tcPr>
            <w:tcW w:w="3685" w:type="dxa"/>
          </w:tcPr>
          <w:p w14:paraId="7D00738B" w14:textId="77777777" w:rsidR="00812791" w:rsidRDefault="00812791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 treatment</w:t>
            </w:r>
          </w:p>
        </w:tc>
        <w:tc>
          <w:tcPr>
            <w:tcW w:w="4394" w:type="dxa"/>
          </w:tcPr>
          <w:p w14:paraId="155D8D3D" w14:textId="77777777" w:rsidR="00812791" w:rsidRDefault="00812791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 treatment</w:t>
            </w:r>
          </w:p>
        </w:tc>
      </w:tr>
      <w:tr w:rsidR="00973946" w14:paraId="6182523D" w14:textId="77777777" w:rsidTr="00A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EC3DE43" w14:textId="77777777" w:rsidR="00973946" w:rsidRDefault="00BE7E50" w:rsidP="0093070A">
            <w:pPr>
              <w:rPr>
                <w:bCs w:val="0"/>
              </w:rPr>
            </w:pPr>
            <w:r>
              <w:t>Contact chlamydia</w:t>
            </w:r>
          </w:p>
        </w:tc>
        <w:tc>
          <w:tcPr>
            <w:tcW w:w="3685" w:type="dxa"/>
          </w:tcPr>
          <w:p w14:paraId="7B327ABE" w14:textId="77777777" w:rsidR="00973946" w:rsidRDefault="00BE7E50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index known to us: Accelerated partner treatment pathway</w:t>
            </w:r>
          </w:p>
          <w:p w14:paraId="5A9BB306" w14:textId="77777777" w:rsidR="00BE7E50" w:rsidRDefault="00BE7E50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index not know to us: can we verify diagnosis</w:t>
            </w:r>
            <w:r w:rsidR="00C92AE9">
              <w:t xml:space="preserve"> eg send us screen shot of text received</w:t>
            </w:r>
            <w:r>
              <w:t>? If so, accelerated partner treatment pathway.</w:t>
            </w:r>
          </w:p>
        </w:tc>
        <w:tc>
          <w:tcPr>
            <w:tcW w:w="4394" w:type="dxa"/>
          </w:tcPr>
          <w:p w14:paraId="222FCB84" w14:textId="77777777" w:rsidR="00973946" w:rsidRDefault="00BE7E50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index known to us: Accelerated partner treatment pathway</w:t>
            </w:r>
          </w:p>
          <w:p w14:paraId="1E9F54BB" w14:textId="77777777" w:rsidR="00BE7E50" w:rsidRDefault="00BE7E50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index not know to us: can we verify diagnosis? If so, accelerated partner treatment pathway.</w:t>
            </w:r>
          </w:p>
        </w:tc>
      </w:tr>
      <w:tr w:rsidR="00DC04F9" w14:paraId="0EA79101" w14:textId="77777777" w:rsidTr="00A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F99D2DD" w14:textId="77777777" w:rsidR="00DC04F9" w:rsidRDefault="00DC04F9" w:rsidP="0093070A">
            <w:pPr>
              <w:rPr>
                <w:bCs w:val="0"/>
              </w:rPr>
            </w:pPr>
            <w:r>
              <w:t>Contact gonorrhea</w:t>
            </w:r>
          </w:p>
        </w:tc>
        <w:tc>
          <w:tcPr>
            <w:tcW w:w="3685" w:type="dxa"/>
          </w:tcPr>
          <w:p w14:paraId="2B3B46EC" w14:textId="77777777" w:rsidR="00DC04F9" w:rsidRDefault="00DC04F9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to see</w:t>
            </w:r>
            <w:r w:rsidR="00C92AE9">
              <w:t xml:space="preserve"> – see appendix below on management</w:t>
            </w:r>
          </w:p>
        </w:tc>
        <w:tc>
          <w:tcPr>
            <w:tcW w:w="4394" w:type="dxa"/>
          </w:tcPr>
          <w:p w14:paraId="1C1C8F06" w14:textId="77777777" w:rsidR="00DC04F9" w:rsidRDefault="00DC04F9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Await end isolation, then call back. Avoid sex. </w:t>
            </w:r>
          </w:p>
        </w:tc>
      </w:tr>
      <w:tr w:rsidR="00DC04F9" w14:paraId="2A268742" w14:textId="77777777" w:rsidTr="00A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D729334" w14:textId="77777777" w:rsidR="00DC04F9" w:rsidRDefault="00DC04F9" w:rsidP="0093070A">
            <w:pPr>
              <w:rPr>
                <w:bCs w:val="0"/>
              </w:rPr>
            </w:pPr>
            <w:r>
              <w:t>Contact syphilis</w:t>
            </w:r>
          </w:p>
        </w:tc>
        <w:tc>
          <w:tcPr>
            <w:tcW w:w="3685" w:type="dxa"/>
          </w:tcPr>
          <w:p w14:paraId="3F860270" w14:textId="77777777" w:rsidR="00DC04F9" w:rsidRDefault="00DC04F9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to see</w:t>
            </w:r>
          </w:p>
        </w:tc>
        <w:tc>
          <w:tcPr>
            <w:tcW w:w="4394" w:type="dxa"/>
          </w:tcPr>
          <w:p w14:paraId="131866A5" w14:textId="77777777" w:rsidR="00DC04F9" w:rsidRDefault="00DC04F9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Await end isolation, then call back. Avoid sex.</w:t>
            </w:r>
          </w:p>
        </w:tc>
      </w:tr>
      <w:tr w:rsidR="00456184" w14:paraId="478C0A5B" w14:textId="77777777" w:rsidTr="00A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31FB51D" w14:textId="77777777" w:rsidR="00456184" w:rsidRDefault="00456184" w:rsidP="0093070A">
            <w:pPr>
              <w:rPr>
                <w:bCs w:val="0"/>
              </w:rPr>
            </w:pPr>
            <w:r>
              <w:t>GC ToC</w:t>
            </w:r>
          </w:p>
        </w:tc>
        <w:tc>
          <w:tcPr>
            <w:tcW w:w="3685" w:type="dxa"/>
          </w:tcPr>
          <w:p w14:paraId="1273CD9D" w14:textId="77777777" w:rsidR="00456184" w:rsidRDefault="00CA21B4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to see</w:t>
            </w:r>
            <w:r w:rsidR="00C92AE9">
              <w:t xml:space="preserve"> – see appendix below on management</w:t>
            </w:r>
          </w:p>
        </w:tc>
        <w:tc>
          <w:tcPr>
            <w:tcW w:w="4394" w:type="dxa"/>
          </w:tcPr>
          <w:p w14:paraId="7FA3BCB9" w14:textId="77777777" w:rsidR="00456184" w:rsidRDefault="00CA21B4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Await end isolation, then call back. Avoid sex.</w:t>
            </w:r>
          </w:p>
        </w:tc>
      </w:tr>
      <w:tr w:rsidR="00DC04F9" w14:paraId="5235CEFA" w14:textId="77777777" w:rsidTr="00A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276165B" w14:textId="77777777" w:rsidR="00DC04F9" w:rsidRDefault="00DC04F9" w:rsidP="0093070A">
            <w:pPr>
              <w:rPr>
                <w:bCs w:val="0"/>
              </w:rPr>
            </w:pPr>
            <w:r>
              <w:t>Emergency contraception</w:t>
            </w:r>
          </w:p>
        </w:tc>
        <w:tc>
          <w:tcPr>
            <w:tcW w:w="3685" w:type="dxa"/>
          </w:tcPr>
          <w:p w14:paraId="67447DF8" w14:textId="77777777" w:rsidR="00DC04F9" w:rsidRDefault="00DC04F9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to see. Option to use community pharmacy if closer.</w:t>
            </w:r>
          </w:p>
        </w:tc>
        <w:tc>
          <w:tcPr>
            <w:tcW w:w="4394" w:type="dxa"/>
          </w:tcPr>
          <w:p w14:paraId="49A175ED" w14:textId="77777777" w:rsidR="00DC04F9" w:rsidRDefault="00DC04F9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Ask friend/relative to obtain EHC from community pharmacy.</w:t>
            </w:r>
          </w:p>
        </w:tc>
      </w:tr>
      <w:tr w:rsidR="00727822" w14:paraId="3D2EAF1D" w14:textId="77777777" w:rsidTr="00A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5522A67" w14:textId="77777777" w:rsidR="00727822" w:rsidRDefault="00727822" w:rsidP="0093070A">
            <w:pPr>
              <w:rPr>
                <w:bCs w:val="0"/>
              </w:rPr>
            </w:pPr>
            <w:r>
              <w:t>PEP</w:t>
            </w:r>
          </w:p>
        </w:tc>
        <w:tc>
          <w:tcPr>
            <w:tcW w:w="3685" w:type="dxa"/>
          </w:tcPr>
          <w:p w14:paraId="6C31AC99" w14:textId="5230B0A3" w:rsidR="00727822" w:rsidRDefault="00727822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 assessment and if recommended, attend for baseline tests and collect</w:t>
            </w:r>
            <w:r w:rsidR="00D95890">
              <w:t xml:space="preserve"> 28 days PEP. Follow up F2F at 8</w:t>
            </w:r>
            <w:r>
              <w:t xml:space="preserve"> weeks</w:t>
            </w:r>
            <w:r w:rsidR="00D95890">
              <w:t xml:space="preserve"> unless STI symptoms</w:t>
            </w:r>
          </w:p>
        </w:tc>
        <w:tc>
          <w:tcPr>
            <w:tcW w:w="4394" w:type="dxa"/>
          </w:tcPr>
          <w:p w14:paraId="48B75B19" w14:textId="77777777" w:rsidR="00727822" w:rsidRDefault="00727822" w:rsidP="0072782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82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Phone assessment and if recommended will need to arrange for friend / family member to come and collect 28 days PEP. See at end of isolation for baseline tests and follow up, preceded by telephone call</w:t>
            </w:r>
          </w:p>
        </w:tc>
      </w:tr>
      <w:tr w:rsidR="00DC04F9" w14:paraId="68CC1DCB" w14:textId="77777777" w:rsidTr="00A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300CDFE" w14:textId="77777777" w:rsidR="00DC04F9" w:rsidRDefault="00DC04F9" w:rsidP="0093070A">
            <w:pPr>
              <w:rPr>
                <w:bCs w:val="0"/>
              </w:rPr>
            </w:pPr>
            <w:r>
              <w:t>Expired LARC</w:t>
            </w:r>
          </w:p>
        </w:tc>
        <w:tc>
          <w:tcPr>
            <w:tcW w:w="3685" w:type="dxa"/>
          </w:tcPr>
          <w:p w14:paraId="10EB56AD" w14:textId="77777777" w:rsidR="00DC04F9" w:rsidRDefault="00727822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appendix 2</w:t>
            </w:r>
          </w:p>
        </w:tc>
        <w:tc>
          <w:tcPr>
            <w:tcW w:w="4394" w:type="dxa"/>
          </w:tcPr>
          <w:p w14:paraId="2F68F6AD" w14:textId="77777777" w:rsidR="00DC04F9" w:rsidRDefault="00DC04F9" w:rsidP="00CA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Condoms, or abstinence, call back after isolation period</w:t>
            </w:r>
          </w:p>
        </w:tc>
      </w:tr>
      <w:tr w:rsidR="00DC04F9" w14:paraId="5DF68C4F" w14:textId="77777777" w:rsidTr="00A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99FD181" w14:textId="77777777" w:rsidR="00DC04F9" w:rsidRDefault="00DC04F9" w:rsidP="0093070A">
            <w:pPr>
              <w:rPr>
                <w:bCs w:val="0"/>
              </w:rPr>
            </w:pPr>
            <w:r>
              <w:t>Needs contraception, not using any</w:t>
            </w:r>
          </w:p>
        </w:tc>
        <w:tc>
          <w:tcPr>
            <w:tcW w:w="3685" w:type="dxa"/>
          </w:tcPr>
          <w:p w14:paraId="03353D20" w14:textId="77777777" w:rsidR="00DC04F9" w:rsidRDefault="00727822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appendix 2</w:t>
            </w:r>
          </w:p>
        </w:tc>
        <w:tc>
          <w:tcPr>
            <w:tcW w:w="4394" w:type="dxa"/>
          </w:tcPr>
          <w:p w14:paraId="2C76A076" w14:textId="77777777" w:rsidR="00DC04F9" w:rsidRDefault="00DC04F9" w:rsidP="00CA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Condoms or abstinence, call back</w:t>
            </w:r>
            <w:r w:rsidR="00C92AE9">
              <w:t xml:space="preserve"> after isolation period or consider on line pharmacy</w:t>
            </w:r>
            <w:r>
              <w:t xml:space="preserve"> </w:t>
            </w:r>
          </w:p>
        </w:tc>
      </w:tr>
    </w:tbl>
    <w:p w14:paraId="355D1825" w14:textId="77777777" w:rsidR="00B41EA8" w:rsidRDefault="00B41EA8" w:rsidP="00B00D8D">
      <w:pPr>
        <w:pStyle w:val="Heading2"/>
        <w:jc w:val="center"/>
      </w:pPr>
    </w:p>
    <w:p w14:paraId="321BC148" w14:textId="77777777" w:rsidR="00B41EA8" w:rsidRDefault="00B41EA8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GB" w:eastAsia="en-GB"/>
        </w:rPr>
      </w:pPr>
      <w:r>
        <w:br w:type="page"/>
      </w:r>
    </w:p>
    <w:p w14:paraId="7E694CD0" w14:textId="4F740CCC" w:rsidR="00C92AE9" w:rsidRDefault="00C92AE9" w:rsidP="00B00D8D">
      <w:pPr>
        <w:pStyle w:val="Heading2"/>
        <w:jc w:val="center"/>
      </w:pPr>
      <w:r>
        <w:lastRenderedPageBreak/>
        <w:t>Appendix</w:t>
      </w:r>
      <w:r w:rsidR="00D14F92">
        <w:t xml:space="preserve"> 1</w:t>
      </w:r>
    </w:p>
    <w:p w14:paraId="28B4C046" w14:textId="77777777" w:rsidR="00C92AE9" w:rsidRDefault="00C92AE9" w:rsidP="00B00D8D">
      <w:pPr>
        <w:pStyle w:val="Heading2"/>
        <w:jc w:val="center"/>
      </w:pPr>
      <w:r>
        <w:t>Management</w:t>
      </w:r>
      <w:r w:rsidRPr="00321712">
        <w:t xml:space="preserve"> of patients with gonorrhoea and gonorrhoea contacts</w:t>
      </w:r>
    </w:p>
    <w:p w14:paraId="394108E2" w14:textId="4DA44857" w:rsidR="008924BF" w:rsidRPr="00321712" w:rsidRDefault="008924BF" w:rsidP="00C92AE9">
      <w:pPr>
        <w:jc w:val="center"/>
        <w:rPr>
          <w:b/>
        </w:rPr>
      </w:pPr>
      <w:r>
        <w:rPr>
          <w:b/>
        </w:rPr>
        <w:t>NB do not</w:t>
      </w:r>
      <w:r w:rsidR="00C444E2">
        <w:rPr>
          <w:b/>
        </w:rPr>
        <w:t xml:space="preserve"> take</w:t>
      </w:r>
      <w:r>
        <w:rPr>
          <w:b/>
        </w:rPr>
        <w:t xml:space="preserve"> throat swabs in clinic – only TOC</w:t>
      </w:r>
    </w:p>
    <w:p w14:paraId="0EFE9C92" w14:textId="77777777" w:rsidR="00C92AE9" w:rsidRPr="00B00D8D" w:rsidRDefault="00C92AE9" w:rsidP="00C92AE9">
      <w:pPr>
        <w:rPr>
          <w:b/>
          <w:bCs/>
        </w:rPr>
      </w:pPr>
      <w:r w:rsidRPr="00B00D8D">
        <w:rPr>
          <w:b/>
          <w:bCs/>
        </w:rPr>
        <w:t>Women diagnosed with GC or GC contacts (will probably be diagnosed on NAATs)</w:t>
      </w:r>
    </w:p>
    <w:p w14:paraId="58C9580B" w14:textId="77777777" w:rsidR="00C92AE9" w:rsidRDefault="00C92AE9" w:rsidP="00C92AE9">
      <w:pPr>
        <w:pStyle w:val="NoSpacing"/>
        <w:numPr>
          <w:ilvl w:val="0"/>
          <w:numId w:val="1"/>
        </w:numPr>
      </w:pPr>
      <w:r>
        <w:t>When attend for treatment, please take</w:t>
      </w:r>
      <w:r w:rsidR="008924BF">
        <w:t xml:space="preserve"> NAATs and cultures from </w:t>
      </w:r>
      <w:r>
        <w:t xml:space="preserve"> cervix and rectum</w:t>
      </w:r>
      <w:r w:rsidR="008924BF">
        <w:t xml:space="preserve"> (NOT throat)</w:t>
      </w:r>
    </w:p>
    <w:p w14:paraId="3F437104" w14:textId="77777777" w:rsidR="00C92AE9" w:rsidRDefault="00C92AE9" w:rsidP="00C92AE9">
      <w:pPr>
        <w:pStyle w:val="NoSpacing"/>
        <w:numPr>
          <w:ilvl w:val="0"/>
          <w:numId w:val="1"/>
        </w:numPr>
      </w:pPr>
      <w:r>
        <w:t xml:space="preserve">Treat with ceftriaxone AND doxycycline </w:t>
      </w:r>
    </w:p>
    <w:p w14:paraId="19538A2F" w14:textId="77777777" w:rsidR="00C92AE9" w:rsidRDefault="00C92AE9" w:rsidP="00C92AE9">
      <w:pPr>
        <w:pStyle w:val="NoSpacing"/>
        <w:numPr>
          <w:ilvl w:val="0"/>
          <w:numId w:val="1"/>
        </w:numPr>
      </w:pPr>
      <w:r>
        <w:t>Give 3 swabs to take away labelled with GUM labels (Not ICE ones) and marked throat, rectum, vagina to self swab in 2 week’s time.</w:t>
      </w:r>
    </w:p>
    <w:p w14:paraId="34E8FDD9" w14:textId="77777777" w:rsidR="00C92AE9" w:rsidRDefault="00C92AE9" w:rsidP="00C92AE9">
      <w:pPr>
        <w:pStyle w:val="NoSpacing"/>
        <w:numPr>
          <w:ilvl w:val="0"/>
          <w:numId w:val="1"/>
        </w:numPr>
      </w:pPr>
      <w:r>
        <w:t>Diary for 2 weeks follow up</w:t>
      </w:r>
    </w:p>
    <w:p w14:paraId="695F4053" w14:textId="77777777" w:rsidR="00C92AE9" w:rsidRDefault="00C92AE9" w:rsidP="00C92AE9">
      <w:pPr>
        <w:pStyle w:val="NoSpacing"/>
        <w:numPr>
          <w:ilvl w:val="0"/>
          <w:numId w:val="1"/>
        </w:numPr>
      </w:pPr>
      <w:r>
        <w:t>Clinician will check their results and if negative then can be telephoned and told not to attend / swab</w:t>
      </w:r>
    </w:p>
    <w:p w14:paraId="0633AFD6" w14:textId="77777777" w:rsidR="00C92AE9" w:rsidRDefault="00C92AE9" w:rsidP="00C92AE9">
      <w:pPr>
        <w:pStyle w:val="NoSpacing"/>
        <w:numPr>
          <w:ilvl w:val="0"/>
          <w:numId w:val="1"/>
        </w:numPr>
      </w:pPr>
      <w:r>
        <w:t>If positive, told to take the swabs and bring to clinic. Can be left at door and then will require labelling with ICE labels</w:t>
      </w:r>
    </w:p>
    <w:p w14:paraId="07ED45A4" w14:textId="77777777" w:rsidR="00C92AE9" w:rsidRDefault="00C92AE9" w:rsidP="00C92AE9"/>
    <w:p w14:paraId="34954E17" w14:textId="77777777" w:rsidR="00C92AE9" w:rsidRPr="00B00D8D" w:rsidRDefault="00C92AE9" w:rsidP="00C92AE9">
      <w:pPr>
        <w:rPr>
          <w:b/>
          <w:bCs/>
        </w:rPr>
      </w:pPr>
      <w:r w:rsidRPr="00B00D8D">
        <w:rPr>
          <w:b/>
          <w:bCs/>
        </w:rPr>
        <w:t>MSM diagnosed with GC or GC contacts (will probably be diagnosed on NAATs)</w:t>
      </w:r>
    </w:p>
    <w:p w14:paraId="5EE193F5" w14:textId="77777777" w:rsidR="00C92AE9" w:rsidRDefault="00C92AE9" w:rsidP="00C92AE9">
      <w:pPr>
        <w:pStyle w:val="NoSpacing"/>
        <w:numPr>
          <w:ilvl w:val="0"/>
          <w:numId w:val="2"/>
        </w:numPr>
      </w:pPr>
      <w:r>
        <w:t>When attend for treatment, please take</w:t>
      </w:r>
      <w:r w:rsidR="008924BF">
        <w:t xml:space="preserve"> NAATs and cultures from</w:t>
      </w:r>
      <w:r>
        <w:t xml:space="preserve"> urethra and rectum (if any anal contact)</w:t>
      </w:r>
      <w:r w:rsidR="008924BF">
        <w:t>(NOT throat)</w:t>
      </w:r>
    </w:p>
    <w:p w14:paraId="0EF60269" w14:textId="77777777" w:rsidR="00C92AE9" w:rsidRDefault="00C92AE9" w:rsidP="00C92AE9">
      <w:pPr>
        <w:pStyle w:val="NoSpacing"/>
        <w:numPr>
          <w:ilvl w:val="0"/>
          <w:numId w:val="2"/>
        </w:numPr>
      </w:pPr>
      <w:r>
        <w:t xml:space="preserve">Treat with ceftriaxone AND doxycycline </w:t>
      </w:r>
    </w:p>
    <w:p w14:paraId="0EC738E9" w14:textId="77777777" w:rsidR="00C92AE9" w:rsidRDefault="00C92AE9" w:rsidP="00C92AE9">
      <w:pPr>
        <w:pStyle w:val="NoSpacing"/>
        <w:numPr>
          <w:ilvl w:val="0"/>
          <w:numId w:val="2"/>
        </w:numPr>
      </w:pPr>
      <w:r>
        <w:t>Give 2 swabs and urine pot to take away labelled with GUM labels (Not ICE ones) and marke</w:t>
      </w:r>
      <w:r w:rsidR="00841E64">
        <w:t>d throat, rectum, urine to self-</w:t>
      </w:r>
      <w:r>
        <w:t>swab in 2 week’s time.</w:t>
      </w:r>
    </w:p>
    <w:p w14:paraId="0BDEF00E" w14:textId="77777777" w:rsidR="00C92AE9" w:rsidRDefault="00C92AE9" w:rsidP="00C92AE9">
      <w:pPr>
        <w:pStyle w:val="NoSpacing"/>
        <w:numPr>
          <w:ilvl w:val="0"/>
          <w:numId w:val="2"/>
        </w:numPr>
      </w:pPr>
      <w:r>
        <w:t>Diary for 2 weeks follow up</w:t>
      </w:r>
    </w:p>
    <w:p w14:paraId="02ABFF6A" w14:textId="77777777" w:rsidR="00C92AE9" w:rsidRDefault="00C92AE9" w:rsidP="00C92AE9">
      <w:pPr>
        <w:pStyle w:val="NoSpacing"/>
        <w:numPr>
          <w:ilvl w:val="0"/>
          <w:numId w:val="2"/>
        </w:numPr>
      </w:pPr>
      <w:r>
        <w:t>Clinician will check their results and if negative then can be telephoned and told not to attend / swab</w:t>
      </w:r>
    </w:p>
    <w:p w14:paraId="1B722D13" w14:textId="77777777" w:rsidR="00C92AE9" w:rsidRDefault="00C92AE9" w:rsidP="00C92AE9">
      <w:pPr>
        <w:pStyle w:val="NoSpacing"/>
        <w:numPr>
          <w:ilvl w:val="0"/>
          <w:numId w:val="2"/>
        </w:numPr>
      </w:pPr>
      <w:r>
        <w:t>If positive, told to take the swabs and bring to clinic. Can be left at door and then will require labelling with ICE labels</w:t>
      </w:r>
    </w:p>
    <w:p w14:paraId="0637E1CA" w14:textId="77777777" w:rsidR="00C92AE9" w:rsidRDefault="00C92AE9" w:rsidP="00C92AE9"/>
    <w:p w14:paraId="28DDA91F" w14:textId="77777777" w:rsidR="00C92AE9" w:rsidRPr="00B00D8D" w:rsidRDefault="00C92AE9" w:rsidP="00C92AE9">
      <w:pPr>
        <w:rPr>
          <w:b/>
          <w:bCs/>
        </w:rPr>
      </w:pPr>
      <w:r w:rsidRPr="00B00D8D">
        <w:rPr>
          <w:b/>
          <w:bCs/>
        </w:rPr>
        <w:t>Heterosexual men diagnosed with GC or GC contacts (will probably be diagnosed on NAATs)</w:t>
      </w:r>
    </w:p>
    <w:p w14:paraId="5AADE094" w14:textId="045F0247" w:rsidR="00C92AE9" w:rsidRDefault="00C92AE9" w:rsidP="00C92AE9">
      <w:pPr>
        <w:pStyle w:val="NoSpacing"/>
        <w:numPr>
          <w:ilvl w:val="0"/>
          <w:numId w:val="3"/>
        </w:numPr>
      </w:pPr>
      <w:r>
        <w:t>When attend for treatment, please take</w:t>
      </w:r>
      <w:r w:rsidR="00C444E2">
        <w:t xml:space="preserve"> urine</w:t>
      </w:r>
      <w:r>
        <w:t xml:space="preserve"> NAATs and culture from urethra </w:t>
      </w:r>
      <w:r w:rsidR="008924BF">
        <w:t xml:space="preserve">(NOT </w:t>
      </w:r>
      <w:r>
        <w:t>throat</w:t>
      </w:r>
      <w:r w:rsidR="008924BF">
        <w:t>)</w:t>
      </w:r>
    </w:p>
    <w:p w14:paraId="5B8D7132" w14:textId="77777777" w:rsidR="00C92AE9" w:rsidRDefault="00C92AE9" w:rsidP="00C92AE9">
      <w:pPr>
        <w:pStyle w:val="NoSpacing"/>
        <w:numPr>
          <w:ilvl w:val="0"/>
          <w:numId w:val="3"/>
        </w:numPr>
      </w:pPr>
      <w:r>
        <w:t xml:space="preserve">Treat with ceftriaxone AND doxycycline </w:t>
      </w:r>
    </w:p>
    <w:p w14:paraId="5C3C666D" w14:textId="77777777" w:rsidR="00C92AE9" w:rsidRDefault="00C92AE9" w:rsidP="00C92AE9">
      <w:pPr>
        <w:pStyle w:val="NoSpacing"/>
        <w:numPr>
          <w:ilvl w:val="0"/>
          <w:numId w:val="3"/>
        </w:numPr>
      </w:pPr>
      <w:r>
        <w:t>Give 1 swab and 1 urine pot to take away labelled with GUM labels (Not ICE ones) and marked throat, and urine to self</w:t>
      </w:r>
      <w:r w:rsidR="00841E64">
        <w:t>-</w:t>
      </w:r>
      <w:r>
        <w:t>swab in 2 week’s time.</w:t>
      </w:r>
    </w:p>
    <w:p w14:paraId="14324695" w14:textId="77777777" w:rsidR="00C92AE9" w:rsidRDefault="00C92AE9" w:rsidP="00C92AE9">
      <w:pPr>
        <w:pStyle w:val="NoSpacing"/>
        <w:numPr>
          <w:ilvl w:val="0"/>
          <w:numId w:val="3"/>
        </w:numPr>
      </w:pPr>
      <w:r>
        <w:t>Diary for 2 weeks follow up</w:t>
      </w:r>
    </w:p>
    <w:p w14:paraId="67CA7394" w14:textId="77777777" w:rsidR="00C92AE9" w:rsidRDefault="00C92AE9" w:rsidP="00C92AE9">
      <w:pPr>
        <w:pStyle w:val="NoSpacing"/>
        <w:numPr>
          <w:ilvl w:val="0"/>
          <w:numId w:val="3"/>
        </w:numPr>
      </w:pPr>
      <w:r>
        <w:t>Clinician will check their results and if negative then can be telephoned and told not to attend / swab</w:t>
      </w:r>
    </w:p>
    <w:p w14:paraId="5CC0F079" w14:textId="77777777" w:rsidR="00C92AE9" w:rsidRDefault="00C92AE9" w:rsidP="00C92AE9">
      <w:pPr>
        <w:pStyle w:val="NoSpacing"/>
        <w:numPr>
          <w:ilvl w:val="0"/>
          <w:numId w:val="3"/>
        </w:numPr>
      </w:pPr>
      <w:r>
        <w:t>If positive, told to take the swabs and bring to clinic. Can be left at door and then will require labelling with ICE labels</w:t>
      </w:r>
    </w:p>
    <w:p w14:paraId="70D62786" w14:textId="77777777" w:rsidR="00C92AE9" w:rsidRDefault="00C92AE9" w:rsidP="00C92AE9"/>
    <w:p w14:paraId="62B72A27" w14:textId="77777777" w:rsidR="00C92AE9" w:rsidRDefault="00C92AE9" w:rsidP="00C92AE9"/>
    <w:p w14:paraId="03E35B58" w14:textId="77777777" w:rsidR="004F3939" w:rsidRDefault="004F3939" w:rsidP="00CA2BA8">
      <w:pPr>
        <w:jc w:val="center"/>
      </w:pPr>
    </w:p>
    <w:p w14:paraId="1A9AB20D" w14:textId="77777777" w:rsidR="004F3939" w:rsidRDefault="004F3939" w:rsidP="00CA2BA8">
      <w:pPr>
        <w:jc w:val="center"/>
      </w:pPr>
    </w:p>
    <w:p w14:paraId="041B387F" w14:textId="77777777" w:rsidR="004F3939" w:rsidRDefault="004F3939" w:rsidP="00CA2BA8">
      <w:pPr>
        <w:jc w:val="center"/>
      </w:pPr>
    </w:p>
    <w:p w14:paraId="42D9DA17" w14:textId="77777777" w:rsidR="004F3939" w:rsidRDefault="004F3939" w:rsidP="00CA2BA8">
      <w:pPr>
        <w:jc w:val="center"/>
      </w:pPr>
    </w:p>
    <w:p w14:paraId="53B65C4D" w14:textId="77777777" w:rsidR="004F3939" w:rsidRDefault="004F3939" w:rsidP="00CA2BA8">
      <w:pPr>
        <w:jc w:val="center"/>
      </w:pPr>
    </w:p>
    <w:p w14:paraId="27D8F85B" w14:textId="2047C0BA" w:rsidR="00CA2BA8" w:rsidRDefault="00D14F92" w:rsidP="00B00D8D">
      <w:pPr>
        <w:pStyle w:val="Heading2"/>
        <w:jc w:val="center"/>
      </w:pPr>
      <w:r>
        <w:lastRenderedPageBreak/>
        <w:t>Appendix 2 - contraception</w:t>
      </w:r>
    </w:p>
    <w:p w14:paraId="7132F702" w14:textId="77777777" w:rsidR="004F3939" w:rsidRDefault="004F3939" w:rsidP="00B00D8D">
      <w:pPr>
        <w:pStyle w:val="Heading2"/>
      </w:pPr>
      <w:r>
        <w:t>Contraception scenarios</w:t>
      </w:r>
    </w:p>
    <w:p w14:paraId="4B3B0D66" w14:textId="77777777" w:rsidR="004F3939" w:rsidRDefault="004F3939" w:rsidP="00F42283">
      <w:pPr>
        <w:pStyle w:val="Heading2"/>
        <w:numPr>
          <w:ilvl w:val="0"/>
          <w:numId w:val="6"/>
        </w:numPr>
        <w:jc w:val="both"/>
      </w:pPr>
      <w:r>
        <w:t>Emergency contraception</w:t>
      </w:r>
    </w:p>
    <w:p w14:paraId="337DDDB1" w14:textId="77777777" w:rsidR="004F3939" w:rsidRDefault="004F3939" w:rsidP="00C44299">
      <w:pPr>
        <w:pStyle w:val="ListParagraph"/>
        <w:numPr>
          <w:ilvl w:val="0"/>
          <w:numId w:val="5"/>
        </w:numPr>
        <w:spacing w:after="200"/>
        <w:contextualSpacing/>
        <w:jc w:val="both"/>
      </w:pPr>
      <w:r>
        <w:t xml:space="preserve">Telephone consult. If chooses oral EC – can obtain from community pharmacy if closer or clinic, consider quick start with POP/COC. Arrange emergency IUD where requested and staffing permits </w:t>
      </w:r>
    </w:p>
    <w:p w14:paraId="7EAEAEC2" w14:textId="77777777" w:rsidR="004F3939" w:rsidRDefault="004F3939" w:rsidP="00C44299">
      <w:pPr>
        <w:pStyle w:val="ListParagraph"/>
        <w:numPr>
          <w:ilvl w:val="1"/>
          <w:numId w:val="5"/>
        </w:numPr>
        <w:spacing w:after="200"/>
        <w:contextualSpacing/>
        <w:jc w:val="both"/>
      </w:pPr>
      <w:r>
        <w:t>If patient request to pick up oral EC and POP/COC from clinic, or requests emergency IUD, complete all consultation over the phone to minimise contact with patient</w:t>
      </w:r>
    </w:p>
    <w:p w14:paraId="0E73320E" w14:textId="77777777" w:rsidR="004F3939" w:rsidRDefault="004F3939" w:rsidP="00F42283">
      <w:pPr>
        <w:pStyle w:val="Heading2"/>
        <w:numPr>
          <w:ilvl w:val="0"/>
          <w:numId w:val="6"/>
        </w:numPr>
        <w:jc w:val="both"/>
      </w:pPr>
      <w:r>
        <w:t>Patient requesting repeat POP/COC</w:t>
      </w:r>
    </w:p>
    <w:p w14:paraId="7453F403" w14:textId="77777777" w:rsidR="004F3939" w:rsidRDefault="004F3939" w:rsidP="00F42283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</w:pPr>
      <w:r>
        <w:t>Initial screening – is the patient known BSHAW patient or non BHSAW patient?</w:t>
      </w:r>
    </w:p>
    <w:p w14:paraId="53C50861" w14:textId="77777777" w:rsidR="004F3939" w:rsidRDefault="004F3939" w:rsidP="003B4023">
      <w:pPr>
        <w:pStyle w:val="ListParagraph"/>
        <w:numPr>
          <w:ilvl w:val="1"/>
          <w:numId w:val="7"/>
        </w:numPr>
        <w:spacing w:after="200" w:line="276" w:lineRule="auto"/>
        <w:contextualSpacing/>
        <w:jc w:val="both"/>
      </w:pPr>
      <w:r>
        <w:t>If known BSHAW patient, send ‘repeat pill BSHAW’ SMS</w:t>
      </w:r>
    </w:p>
    <w:p w14:paraId="48DF63A7" w14:textId="77777777" w:rsidR="004F3939" w:rsidRDefault="004F3939">
      <w:pPr>
        <w:pStyle w:val="ListParagraph"/>
        <w:numPr>
          <w:ilvl w:val="1"/>
          <w:numId w:val="7"/>
        </w:numPr>
        <w:spacing w:after="200" w:line="276" w:lineRule="auto"/>
        <w:contextualSpacing/>
        <w:jc w:val="both"/>
      </w:pPr>
      <w:r>
        <w:t>If not known BSHAW patient, send ‘non BSHAW repeat pill’ SMS</w:t>
      </w:r>
    </w:p>
    <w:p w14:paraId="3CFEE585" w14:textId="77777777" w:rsidR="004F3939" w:rsidRDefault="004F3939" w:rsidP="00C44299">
      <w:pPr>
        <w:pStyle w:val="NoSpacing"/>
        <w:numPr>
          <w:ilvl w:val="0"/>
          <w:numId w:val="7"/>
        </w:numPr>
        <w:jc w:val="both"/>
      </w:pPr>
      <w:r>
        <w:t>Once patient emails form back, add patient to ‘pill by post’ clinic. Indicate on appointment whether SHAW (S) patient or Brookside patient (BS)</w:t>
      </w:r>
    </w:p>
    <w:p w14:paraId="19B7EFB8" w14:textId="77777777" w:rsidR="004F3939" w:rsidRDefault="004F3939" w:rsidP="00C44299">
      <w:pPr>
        <w:pStyle w:val="NoSpacing"/>
        <w:numPr>
          <w:ilvl w:val="0"/>
          <w:numId w:val="7"/>
        </w:numPr>
        <w:jc w:val="both"/>
      </w:pPr>
      <w:r>
        <w:t>Notes, form, compliment slip and addressed envelope collated for clinician</w:t>
      </w:r>
    </w:p>
    <w:p w14:paraId="40741580" w14:textId="77777777" w:rsidR="004F3939" w:rsidRDefault="004F3939" w:rsidP="00C44299">
      <w:pPr>
        <w:pStyle w:val="NoSpacing"/>
        <w:numPr>
          <w:ilvl w:val="0"/>
          <w:numId w:val="7"/>
        </w:numPr>
        <w:jc w:val="both"/>
      </w:pPr>
      <w:r>
        <w:t>Clinician reviews notes, if suitable, prescribe generically up to 6/12 of COC or POP on FP10 – FP10 and compliment slip posted to patient</w:t>
      </w:r>
    </w:p>
    <w:p w14:paraId="4069970F" w14:textId="77777777" w:rsidR="004F3939" w:rsidRDefault="004F3939" w:rsidP="00C44299">
      <w:pPr>
        <w:pStyle w:val="NoSpacing"/>
        <w:numPr>
          <w:ilvl w:val="0"/>
          <w:numId w:val="7"/>
        </w:numPr>
        <w:jc w:val="both"/>
      </w:pPr>
      <w:r>
        <w:t>If unsuitable, schedule telephone consult</w:t>
      </w:r>
    </w:p>
    <w:p w14:paraId="2DD4DFD6" w14:textId="77777777" w:rsidR="004F3939" w:rsidRDefault="004F3939" w:rsidP="00B00D8D">
      <w:pPr>
        <w:pStyle w:val="NoSpacing"/>
        <w:jc w:val="both"/>
      </w:pPr>
    </w:p>
    <w:p w14:paraId="5A9BCFDC" w14:textId="0B2515C1" w:rsidR="004F3939" w:rsidRPr="00A975D4" w:rsidRDefault="004F3939" w:rsidP="00B00D8D">
      <w:pPr>
        <w:pStyle w:val="NoSpacing"/>
        <w:numPr>
          <w:ilvl w:val="0"/>
          <w:numId w:val="7"/>
        </w:numPr>
        <w:jc w:val="both"/>
      </w:pPr>
      <w:r>
        <w:rPr>
          <w:rFonts w:cstheme="minorHAnsi"/>
          <w:color w:val="000000"/>
        </w:rPr>
        <w:t xml:space="preserve">If existing BSHAW COC </w:t>
      </w:r>
      <w:r w:rsidRPr="002E7E57">
        <w:rPr>
          <w:rFonts w:cstheme="minorHAnsi"/>
          <w:color w:val="000000"/>
        </w:rPr>
        <w:t xml:space="preserve">users </w:t>
      </w:r>
      <w:r>
        <w:rPr>
          <w:rFonts w:cstheme="minorHAnsi"/>
          <w:color w:val="000000"/>
        </w:rPr>
        <w:t xml:space="preserve">unable to obtain BP and weight, </w:t>
      </w:r>
      <w:r w:rsidR="00B00D8D">
        <w:rPr>
          <w:rFonts w:cstheme="minorHAnsi"/>
          <w:color w:val="000000"/>
        </w:rPr>
        <w:t>it is reasonable</w:t>
      </w:r>
      <w:r w:rsidRPr="002E7E57">
        <w:rPr>
          <w:rFonts w:cstheme="minorHAnsi"/>
          <w:color w:val="000000"/>
        </w:rPr>
        <w:t xml:space="preserve"> to allow remote prescription to cover the next 6</w:t>
      </w:r>
      <w:r>
        <w:rPr>
          <w:rFonts w:cstheme="minorHAnsi"/>
          <w:color w:val="000000"/>
        </w:rPr>
        <w:t>/12</w:t>
      </w:r>
      <w:r w:rsidRPr="002E7E57">
        <w:rPr>
          <w:rFonts w:cstheme="minorHAnsi"/>
          <w:color w:val="000000"/>
        </w:rPr>
        <w:t xml:space="preserve"> without rechecking BMI/blood pressure; risk associated with unplanned pregnancy likely to be greater than risk relating to continued use. If documented all relevant medical history at the time of last C</w:t>
      </w:r>
      <w:r>
        <w:rPr>
          <w:rFonts w:cstheme="minorHAnsi"/>
          <w:color w:val="000000"/>
        </w:rPr>
        <w:t>OC prescription</w:t>
      </w:r>
      <w:r w:rsidRPr="002E7E57">
        <w:rPr>
          <w:rFonts w:cstheme="minorHAnsi"/>
          <w:color w:val="000000"/>
        </w:rPr>
        <w:t>, and no contraindications were identified, provision of a further supply of C</w:t>
      </w:r>
      <w:r>
        <w:rPr>
          <w:rFonts w:cstheme="minorHAnsi"/>
          <w:color w:val="000000"/>
        </w:rPr>
        <w:t>OC</w:t>
      </w:r>
      <w:r w:rsidRPr="002E7E57">
        <w:rPr>
          <w:rFonts w:cstheme="minorHAnsi"/>
          <w:color w:val="000000"/>
        </w:rPr>
        <w:t xml:space="preserve"> can be considered.</w:t>
      </w:r>
      <w:r w:rsidR="00AE3119">
        <w:rPr>
          <w:rFonts w:cstheme="minorHAnsi"/>
          <w:color w:val="000000"/>
        </w:rPr>
        <w:t xml:space="preserve"> Patient should be sent ‘repeat pill BSHAW’ SMS and asked to complete. Clinician to review, as above.</w:t>
      </w:r>
      <w:r>
        <w:rPr>
          <w:rFonts w:cstheme="minorHAnsi"/>
          <w:color w:val="000000"/>
        </w:rPr>
        <w:t xml:space="preserve"> </w:t>
      </w:r>
    </w:p>
    <w:p w14:paraId="268210D4" w14:textId="77777777" w:rsidR="004F3939" w:rsidRDefault="004F3939" w:rsidP="004F3939">
      <w:pPr>
        <w:pStyle w:val="ListParagraph"/>
        <w:jc w:val="both"/>
      </w:pPr>
    </w:p>
    <w:p w14:paraId="66CC49B0" w14:textId="77777777" w:rsidR="004F3939" w:rsidRDefault="004F3939" w:rsidP="004F3939">
      <w:pPr>
        <w:pStyle w:val="Heading2"/>
        <w:numPr>
          <w:ilvl w:val="0"/>
          <w:numId w:val="6"/>
        </w:numPr>
        <w:jc w:val="both"/>
      </w:pPr>
      <w:r>
        <w:t>Patient requesting regular contraception (not on established contraception)</w:t>
      </w:r>
    </w:p>
    <w:p w14:paraId="424939B9" w14:textId="3A88D431" w:rsidR="00B00D8D" w:rsidRPr="00AD5A71" w:rsidRDefault="00B00D8D" w:rsidP="00B00D8D">
      <w:pPr>
        <w:pStyle w:val="ListParagraph"/>
        <w:jc w:val="both"/>
        <w:rPr>
          <w:color w:val="FF0000"/>
        </w:rPr>
      </w:pPr>
      <w:r w:rsidRPr="00AD5A71">
        <w:rPr>
          <w:color w:val="FF0000"/>
        </w:rPr>
        <w:t>Bridging with POP may be most sensible option in many of the following clinical scenarios</w:t>
      </w:r>
    </w:p>
    <w:p w14:paraId="2E412DB3" w14:textId="77777777" w:rsidR="00B00D8D" w:rsidRDefault="00B00D8D" w:rsidP="00B00D8D">
      <w:pPr>
        <w:pStyle w:val="ListParagraph"/>
        <w:spacing w:after="200" w:line="276" w:lineRule="auto"/>
        <w:contextualSpacing/>
        <w:jc w:val="both"/>
      </w:pPr>
    </w:p>
    <w:p w14:paraId="4633D960" w14:textId="77777777" w:rsidR="004F3939" w:rsidRDefault="004F3939" w:rsidP="004F3939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</w:pPr>
      <w:r>
        <w:t xml:space="preserve">Telephone consult. </w:t>
      </w:r>
    </w:p>
    <w:p w14:paraId="4E271C0E" w14:textId="77777777" w:rsidR="004F3939" w:rsidRDefault="004F3939" w:rsidP="004F3939">
      <w:pPr>
        <w:pStyle w:val="ListParagraph"/>
        <w:numPr>
          <w:ilvl w:val="1"/>
          <w:numId w:val="5"/>
        </w:numPr>
        <w:spacing w:after="200" w:line="276" w:lineRule="auto"/>
        <w:contextualSpacing/>
        <w:jc w:val="both"/>
      </w:pPr>
      <w:r>
        <w:t>Patient requesting LARC (coil/implant). Complete telephone consultation and send ‘one stop SDI’ SMS if requesting SDI and ‘one stop coil’ SMS if requesting coil</w:t>
      </w:r>
    </w:p>
    <w:p w14:paraId="4D6C194E" w14:textId="77777777" w:rsidR="004F3939" w:rsidRDefault="004F3939" w:rsidP="00C44299">
      <w:pPr>
        <w:pStyle w:val="ListParagraph"/>
        <w:numPr>
          <w:ilvl w:val="2"/>
          <w:numId w:val="5"/>
        </w:numPr>
        <w:spacing w:after="200"/>
        <w:contextualSpacing/>
        <w:jc w:val="both"/>
      </w:pPr>
      <w:r>
        <w:t>If high risk of pregnancy and/or at risk group and LARC (SDI/coil) only acceptable method, if staffing allows, book for SDI/coiI insertion. Complete all consultation over the phone to minimise contact with patient</w:t>
      </w:r>
    </w:p>
    <w:p w14:paraId="4713A578" w14:textId="77777777" w:rsidR="004F3939" w:rsidRDefault="004F3939" w:rsidP="00C44299">
      <w:pPr>
        <w:pStyle w:val="ListParagraph"/>
        <w:numPr>
          <w:ilvl w:val="2"/>
          <w:numId w:val="5"/>
        </w:numPr>
        <w:spacing w:after="200"/>
        <w:contextualSpacing/>
        <w:jc w:val="both"/>
      </w:pPr>
      <w:r>
        <w:t>If low risk of pregnancy, offer to bridge with POP – if accepts, prescribe generically up to 6/12 POP with FP10. FP10 posted to patient. Advise patient to monitor website for resumption of normal service</w:t>
      </w:r>
    </w:p>
    <w:p w14:paraId="57BFC828" w14:textId="77777777" w:rsidR="004F3939" w:rsidRDefault="004F3939" w:rsidP="004F3939">
      <w:pPr>
        <w:pStyle w:val="ListParagraph"/>
        <w:numPr>
          <w:ilvl w:val="1"/>
          <w:numId w:val="5"/>
        </w:numPr>
        <w:spacing w:after="200" w:line="276" w:lineRule="auto"/>
        <w:contextualSpacing/>
        <w:jc w:val="both"/>
      </w:pPr>
      <w:r>
        <w:t>Patient requesting Depo. Complete telephone consultation. Offer to bridge with POP – if accepts, prescribe generically up to 6/12 POP with FP10. FP10 posted to patient. Advise patient to monitor website for resumption of normal service</w:t>
      </w:r>
    </w:p>
    <w:p w14:paraId="736E7F05" w14:textId="77777777" w:rsidR="004F3939" w:rsidRDefault="004F3939" w:rsidP="00C44299">
      <w:pPr>
        <w:pStyle w:val="ListParagraph"/>
        <w:numPr>
          <w:ilvl w:val="2"/>
          <w:numId w:val="5"/>
        </w:numPr>
        <w:spacing w:after="200"/>
        <w:contextualSpacing/>
        <w:jc w:val="both"/>
      </w:pPr>
      <w:r>
        <w:t>If patient has been on Sayana Press before but switched to Depo during stock unavailability, discuss re-starting Sayana Press with patient. Up to 6/12 supply can be posted to patient.</w:t>
      </w:r>
    </w:p>
    <w:p w14:paraId="710BD082" w14:textId="77777777" w:rsidR="004F3939" w:rsidRDefault="004F3939" w:rsidP="004F3939">
      <w:pPr>
        <w:pStyle w:val="ListParagraph"/>
        <w:numPr>
          <w:ilvl w:val="1"/>
          <w:numId w:val="5"/>
        </w:numPr>
        <w:spacing w:after="200" w:line="276" w:lineRule="auto"/>
        <w:contextualSpacing/>
        <w:jc w:val="both"/>
      </w:pPr>
      <w:r>
        <w:t xml:space="preserve">Patient requests COC. </w:t>
      </w:r>
    </w:p>
    <w:p w14:paraId="6D4B086E" w14:textId="77777777" w:rsidR="004F3939" w:rsidRDefault="004F3939" w:rsidP="00C44299">
      <w:pPr>
        <w:pStyle w:val="ListParagraph"/>
        <w:numPr>
          <w:ilvl w:val="2"/>
          <w:numId w:val="5"/>
        </w:numPr>
        <w:spacing w:after="200"/>
        <w:contextualSpacing/>
        <w:jc w:val="both"/>
      </w:pPr>
      <w:r>
        <w:t>If new to COC but not new to service and has documented BMI and BP in notes within last 12/12, and medical eligible, complete telephone consultation and prescribe generically up to 6/12 COC using FP10. FP10 posted to patient. Advise patient to monitor website for resumption of normal service</w:t>
      </w:r>
    </w:p>
    <w:p w14:paraId="728F51E1" w14:textId="77777777" w:rsidR="004F3939" w:rsidRPr="002E7E57" w:rsidRDefault="004F3939" w:rsidP="00C44299">
      <w:pPr>
        <w:pStyle w:val="ListParagraph"/>
        <w:numPr>
          <w:ilvl w:val="2"/>
          <w:numId w:val="5"/>
        </w:numPr>
        <w:spacing w:after="200"/>
        <w:contextualSpacing/>
      </w:pPr>
      <w:r>
        <w:t xml:space="preserve">If BMI and BP not available, discuss starting POP. If accepts, prescribe generically up to 6/12 POP with FP10. FP10 posted to </w:t>
      </w:r>
      <w:r w:rsidRPr="002E7E57">
        <w:t>patient</w:t>
      </w:r>
      <w:r>
        <w:t xml:space="preserve">. </w:t>
      </w:r>
      <w:r w:rsidRPr="002E7E57">
        <w:t xml:space="preserve">If POP is not suitable or not acceptable:- </w:t>
      </w:r>
    </w:p>
    <w:p w14:paraId="7F45108E" w14:textId="77777777" w:rsidR="004F3939" w:rsidRPr="00463574" w:rsidRDefault="004F3939" w:rsidP="00C44299">
      <w:pPr>
        <w:pStyle w:val="ListParagraph"/>
        <w:ind w:left="2160"/>
      </w:pPr>
      <w:r w:rsidRPr="002E7E57">
        <w:lastRenderedPageBreak/>
        <w:t xml:space="preserve">First COC prescription would require complete remote assessment of medical eligibility and accurate self-reported blood pressure/BMI. </w:t>
      </w:r>
      <w:r>
        <w:t xml:space="preserve">Complete telephone consultation and assess medical eligibility. </w:t>
      </w:r>
      <w:r w:rsidRPr="002E7E57">
        <w:t>Send patient ‘non BSHAW repeat pill’ SMS. A 6/12 supply could be provided.</w:t>
      </w:r>
      <w:r w:rsidRPr="00463574">
        <w:t xml:space="preserve"> </w:t>
      </w:r>
    </w:p>
    <w:p w14:paraId="1799267A" w14:textId="77777777" w:rsidR="004F3939" w:rsidRDefault="004F3939" w:rsidP="00B00D8D">
      <w:pPr>
        <w:pStyle w:val="ListParagraph"/>
        <w:spacing w:after="200" w:line="276" w:lineRule="auto"/>
        <w:ind w:left="2160"/>
        <w:contextualSpacing/>
        <w:jc w:val="both"/>
      </w:pPr>
    </w:p>
    <w:p w14:paraId="6965D8C8" w14:textId="77777777" w:rsidR="004F3939" w:rsidRDefault="004F3939" w:rsidP="004F3939">
      <w:pPr>
        <w:pStyle w:val="ListParagraph"/>
        <w:numPr>
          <w:ilvl w:val="1"/>
          <w:numId w:val="5"/>
        </w:numPr>
        <w:spacing w:after="200" w:line="276" w:lineRule="auto"/>
        <w:contextualSpacing/>
        <w:jc w:val="both"/>
      </w:pPr>
      <w:r>
        <w:t>Patient requests POP</w:t>
      </w:r>
    </w:p>
    <w:p w14:paraId="033A4EEC" w14:textId="77777777" w:rsidR="004F3939" w:rsidRDefault="004F3939" w:rsidP="00C44299">
      <w:pPr>
        <w:pStyle w:val="ListParagraph"/>
        <w:numPr>
          <w:ilvl w:val="2"/>
          <w:numId w:val="5"/>
        </w:numPr>
        <w:spacing w:after="200"/>
        <w:contextualSpacing/>
        <w:jc w:val="both"/>
      </w:pPr>
      <w:r>
        <w:t>If new to POP, complete telephone consultation and prescribe generically up to 6/12 POP using FP10. FP10 posted to patient</w:t>
      </w:r>
    </w:p>
    <w:p w14:paraId="61943523" w14:textId="77777777" w:rsidR="004F3939" w:rsidRDefault="004F3939" w:rsidP="004F3939">
      <w:pPr>
        <w:pStyle w:val="Heading2"/>
        <w:numPr>
          <w:ilvl w:val="0"/>
          <w:numId w:val="6"/>
        </w:numPr>
        <w:jc w:val="both"/>
      </w:pPr>
      <w:r>
        <w:t>LARC removal and replacement</w:t>
      </w:r>
    </w:p>
    <w:p w14:paraId="0DC77B20" w14:textId="77777777" w:rsidR="004F3939" w:rsidRDefault="004F3939" w:rsidP="004F3939">
      <w:pPr>
        <w:pStyle w:val="Heading3"/>
        <w:ind w:left="360"/>
        <w:jc w:val="both"/>
      </w:pPr>
      <w:r>
        <w:t>LARC removal</w:t>
      </w:r>
    </w:p>
    <w:p w14:paraId="38CB3452" w14:textId="77777777" w:rsidR="004F3939" w:rsidRPr="007C1759" w:rsidRDefault="004F3939" w:rsidP="004F3939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</w:pPr>
      <w:r>
        <w:t>Advise patient service suspended. Patient to monitor website for resumption of normal services</w:t>
      </w:r>
    </w:p>
    <w:p w14:paraId="66A30262" w14:textId="77777777" w:rsidR="004F3939" w:rsidRDefault="004F3939" w:rsidP="004F3939">
      <w:pPr>
        <w:pStyle w:val="Heading3"/>
        <w:ind w:left="360"/>
        <w:jc w:val="both"/>
      </w:pPr>
      <w:r>
        <w:t>Extended use of LARC</w:t>
      </w:r>
    </w:p>
    <w:p w14:paraId="169F4637" w14:textId="77777777" w:rsidR="004F3939" w:rsidRPr="007C1759" w:rsidRDefault="004F3939" w:rsidP="004F3939">
      <w:pPr>
        <w:jc w:val="both"/>
      </w:pPr>
      <w:r>
        <w:tab/>
        <w:t>New FSRH guidance during covid-19 on extended use of LARC</w:t>
      </w:r>
    </w:p>
    <w:p w14:paraId="775572EF" w14:textId="77777777" w:rsidR="004F3939" w:rsidRDefault="004F3939" w:rsidP="00C44299">
      <w:pPr>
        <w:pStyle w:val="ListParagraph"/>
        <w:numPr>
          <w:ilvl w:val="0"/>
          <w:numId w:val="5"/>
        </w:numPr>
        <w:spacing w:after="200"/>
        <w:contextualSpacing/>
        <w:jc w:val="both"/>
      </w:pPr>
      <w:r w:rsidRPr="000E6967">
        <w:t xml:space="preserve">Nexplanon </w:t>
      </w:r>
      <w:r>
        <w:t xml:space="preserve">- </w:t>
      </w:r>
      <w:r w:rsidRPr="000E6967">
        <w:t>4 year</w:t>
      </w:r>
      <w:r>
        <w:t>s</w:t>
      </w:r>
      <w:r w:rsidRPr="000E6967">
        <w:rPr>
          <w:rFonts w:ascii="Arial" w:hAnsi="Arial" w:cs="Arial"/>
          <w:color w:val="000000"/>
        </w:rPr>
        <w:t xml:space="preserve"> </w:t>
      </w:r>
    </w:p>
    <w:p w14:paraId="24273B8E" w14:textId="77777777" w:rsidR="004F3939" w:rsidRDefault="004F3939" w:rsidP="00C44299">
      <w:pPr>
        <w:pStyle w:val="ListParagraph"/>
        <w:numPr>
          <w:ilvl w:val="0"/>
          <w:numId w:val="5"/>
        </w:numPr>
        <w:spacing w:after="200"/>
        <w:contextualSpacing/>
        <w:jc w:val="both"/>
      </w:pPr>
      <w:r>
        <w:t xml:space="preserve">Banded </w:t>
      </w:r>
      <w:r w:rsidRPr="000E6967">
        <w:t xml:space="preserve">copper IUDs </w:t>
      </w:r>
      <w:r>
        <w:t xml:space="preserve">- </w:t>
      </w:r>
      <w:r w:rsidRPr="000E6967">
        <w:t>12 years</w:t>
      </w:r>
    </w:p>
    <w:p w14:paraId="10246C76" w14:textId="77777777" w:rsidR="004F3939" w:rsidRDefault="004F3939" w:rsidP="00C44299">
      <w:pPr>
        <w:pStyle w:val="ListParagraph"/>
        <w:numPr>
          <w:ilvl w:val="0"/>
          <w:numId w:val="5"/>
        </w:numPr>
        <w:spacing w:after="200"/>
        <w:contextualSpacing/>
        <w:jc w:val="both"/>
      </w:pPr>
      <w:r w:rsidRPr="000E6967">
        <w:t xml:space="preserve">5-year copper IUDs and 52mg LNG-IUS (Mirena/Levosert) </w:t>
      </w:r>
      <w:r>
        <w:t>-</w:t>
      </w:r>
      <w:r w:rsidRPr="000E6967">
        <w:t xml:space="preserve"> 6 years </w:t>
      </w:r>
    </w:p>
    <w:p w14:paraId="6061B558" w14:textId="77777777" w:rsidR="004F3939" w:rsidRDefault="004F3939" w:rsidP="004F3939">
      <w:pPr>
        <w:pStyle w:val="ListParagraph"/>
        <w:jc w:val="both"/>
      </w:pPr>
    </w:p>
    <w:p w14:paraId="1F76DFF1" w14:textId="77777777" w:rsidR="004F3939" w:rsidRDefault="004F3939" w:rsidP="004F3939">
      <w:pPr>
        <w:pStyle w:val="Heading3"/>
        <w:ind w:left="360"/>
        <w:jc w:val="both"/>
      </w:pPr>
      <w:r>
        <w:t xml:space="preserve">LARC expired requesting replacement </w:t>
      </w:r>
    </w:p>
    <w:p w14:paraId="2E79D467" w14:textId="72DEECAE" w:rsidR="004F3939" w:rsidRPr="005A3DDF" w:rsidRDefault="004F3939" w:rsidP="004F3939">
      <w:pPr>
        <w:ind w:left="360"/>
        <w:jc w:val="both"/>
      </w:pPr>
      <w:r w:rsidRPr="005A3DDF">
        <w:t xml:space="preserve">Replacement procedures for long-acting reversible contraceptive (LARC) devices that have recently expired are non-essential. </w:t>
      </w:r>
    </w:p>
    <w:p w14:paraId="12D64192" w14:textId="77777777" w:rsidR="004F3939" w:rsidRDefault="004F3939" w:rsidP="004F3939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</w:pPr>
      <w:r>
        <w:t xml:space="preserve">Patient requesting replacement of LARC as expired. </w:t>
      </w:r>
    </w:p>
    <w:p w14:paraId="409E42D3" w14:textId="44E9DF4E" w:rsidR="004F3939" w:rsidRPr="005A3DDF" w:rsidRDefault="004F3939" w:rsidP="004F3939">
      <w:pPr>
        <w:pStyle w:val="ListParagraph"/>
        <w:numPr>
          <w:ilvl w:val="1"/>
          <w:numId w:val="5"/>
        </w:numPr>
        <w:spacing w:after="200" w:line="276" w:lineRule="auto"/>
        <w:contextualSpacing/>
        <w:jc w:val="both"/>
      </w:pPr>
      <w:r>
        <w:t xml:space="preserve">If Nexplanon/52mg IUS/banded copper IUD/5 year copper IUD </w:t>
      </w:r>
      <w:r w:rsidR="00AD5A71">
        <w:t xml:space="preserve">explain </w:t>
      </w:r>
      <w:r w:rsidR="00C44299">
        <w:t>extended use within dates as stated above</w:t>
      </w:r>
      <w:r w:rsidRPr="005A3DDF">
        <w:t xml:space="preserve">. </w:t>
      </w:r>
    </w:p>
    <w:p w14:paraId="127668C1" w14:textId="77777777" w:rsidR="004F3939" w:rsidRDefault="004F3939" w:rsidP="004F3939">
      <w:pPr>
        <w:pStyle w:val="ListParagraph"/>
        <w:ind w:left="1440"/>
        <w:jc w:val="both"/>
      </w:pPr>
      <w:r>
        <w:t>Inform patient that</w:t>
      </w:r>
      <w:r w:rsidRPr="0098798A">
        <w:t xml:space="preserve"> contraceptive effectiveness cannot be guaranteed but is likely to be adequate</w:t>
      </w:r>
      <w:r>
        <w:t xml:space="preserve"> and risk of pregnancy is likely to be small. If they are worried, can add Desogestrel POP (if medically eligible) or use condoms to use in addition without F2F assessment.</w:t>
      </w:r>
      <w:r w:rsidRPr="0009730E">
        <w:t xml:space="preserve"> </w:t>
      </w:r>
    </w:p>
    <w:p w14:paraId="639D6E41" w14:textId="5545B3D8" w:rsidR="004F3939" w:rsidRDefault="004F3939" w:rsidP="00C44299">
      <w:pPr>
        <w:pStyle w:val="NoSpacing"/>
        <w:ind w:left="1440"/>
      </w:pPr>
      <w:r w:rsidRPr="00863BAF">
        <w:t xml:space="preserve">All women over age 45 years at insertion can rely on the 52mg IUS </w:t>
      </w:r>
      <w:r w:rsidRPr="0009730E">
        <w:rPr>
          <w:b/>
          <w:bCs/>
          <w:i/>
          <w:iCs/>
        </w:rPr>
        <w:t xml:space="preserve">for contraception </w:t>
      </w:r>
      <w:r w:rsidR="00C44299">
        <w:t xml:space="preserve">until age 55. </w:t>
      </w:r>
      <w:r w:rsidRPr="00863BAF">
        <w:t>FSRH</w:t>
      </w:r>
      <w:r>
        <w:t xml:space="preserve"> </w:t>
      </w:r>
      <w:r w:rsidRPr="00863BAF">
        <w:t>suggests that Levosert can be used in this way in the short term to reduce u</w:t>
      </w:r>
      <w:r w:rsidR="00C44299">
        <w:t>nnecessary F2F contact</w:t>
      </w:r>
      <w:r w:rsidRPr="00863BAF">
        <w:t xml:space="preserve">. </w:t>
      </w:r>
    </w:p>
    <w:p w14:paraId="299BB205" w14:textId="77777777" w:rsidR="004F3939" w:rsidRDefault="004F3939" w:rsidP="004F3939">
      <w:pPr>
        <w:ind w:left="1440"/>
        <w:jc w:val="both"/>
      </w:pPr>
      <w:r>
        <w:t>A</w:t>
      </w:r>
      <w:r w:rsidRPr="00463574">
        <w:t>ny Cu-IUD inserted over age 40 years will provide effective contraception until age 55 years</w:t>
      </w:r>
      <w:r>
        <w:t>.</w:t>
      </w:r>
    </w:p>
    <w:p w14:paraId="55092DB3" w14:textId="6E1147D9" w:rsidR="004F3939" w:rsidRPr="00863BAF" w:rsidRDefault="004F3939" w:rsidP="00C44299">
      <w:pPr>
        <w:pStyle w:val="ListParagraph"/>
        <w:numPr>
          <w:ilvl w:val="1"/>
          <w:numId w:val="5"/>
        </w:numPr>
        <w:spacing w:after="200"/>
        <w:contextualSpacing/>
        <w:jc w:val="both"/>
      </w:pPr>
      <w:r>
        <w:t xml:space="preserve">If Nexplanon/52mg IUS/banded copper IUD expired past new extended use as stated above and patient requesting replacement, or </w:t>
      </w:r>
      <w:r w:rsidRPr="00863BAF">
        <w:t>Jaydess</w:t>
      </w:r>
      <w:r>
        <w:t xml:space="preserve"> or</w:t>
      </w:r>
      <w:r w:rsidRPr="00863BAF">
        <w:t xml:space="preserve"> Kyleena</w:t>
      </w:r>
      <w:r>
        <w:t xml:space="preserve"> expired and requesting replacement</w:t>
      </w:r>
      <w:r w:rsidRPr="00863BAF">
        <w:t xml:space="preserve"> </w:t>
      </w:r>
      <w:r>
        <w:t xml:space="preserve">- complete telephone consultation. If medically eligible, offer desogestrel POP – prescribe generically up to 6/12 using FP10. FP10 posted to patient. If medically ineligible or patient declines POP, advise to use condoms. Advise patient to monitor website for resumption of normal services </w:t>
      </w:r>
    </w:p>
    <w:p w14:paraId="7CCE81D0" w14:textId="77777777" w:rsidR="004F3939" w:rsidRDefault="004F3939" w:rsidP="004F3939">
      <w:pPr>
        <w:pStyle w:val="Heading2"/>
        <w:numPr>
          <w:ilvl w:val="0"/>
          <w:numId w:val="6"/>
        </w:numPr>
        <w:jc w:val="both"/>
      </w:pPr>
      <w:r>
        <w:t>Patient requesting pregnancy test/advice</w:t>
      </w:r>
    </w:p>
    <w:p w14:paraId="19570279" w14:textId="77777777" w:rsidR="004F3939" w:rsidRDefault="004F3939" w:rsidP="004F3939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</w:pPr>
      <w:r>
        <w:t>Advise patient to obtain pregnancy test for community pharmacy or supermarket</w:t>
      </w:r>
    </w:p>
    <w:p w14:paraId="3A06A3D0" w14:textId="77777777" w:rsidR="004F3939" w:rsidRDefault="004F3939" w:rsidP="004F3939">
      <w:pPr>
        <w:pStyle w:val="ListParagraph"/>
        <w:numPr>
          <w:ilvl w:val="1"/>
          <w:numId w:val="8"/>
        </w:numPr>
        <w:spacing w:after="200" w:line="276" w:lineRule="auto"/>
        <w:contextualSpacing/>
        <w:jc w:val="both"/>
      </w:pPr>
      <w:r>
        <w:t>If positive and requests abortion advice, provide telephone contact number for direct referral to BPAS</w:t>
      </w:r>
    </w:p>
    <w:p w14:paraId="2BC743D2" w14:textId="76E83DFF" w:rsidR="004F3939" w:rsidRDefault="004F3939" w:rsidP="004F3939">
      <w:pPr>
        <w:pStyle w:val="Heading2"/>
        <w:numPr>
          <w:ilvl w:val="0"/>
          <w:numId w:val="6"/>
        </w:numPr>
        <w:jc w:val="both"/>
      </w:pPr>
      <w:r>
        <w:t>Patient requesting advice</w:t>
      </w:r>
      <w:r w:rsidR="00C44299" w:rsidRPr="00C44299">
        <w:t xml:space="preserve"> </w:t>
      </w:r>
      <w:r w:rsidR="00C44299">
        <w:t>re contraception complications</w:t>
      </w:r>
    </w:p>
    <w:p w14:paraId="1681A04A" w14:textId="77777777" w:rsidR="004F3939" w:rsidRDefault="004F3939" w:rsidP="004F3939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</w:pPr>
      <w:r>
        <w:t>Telephone consultation</w:t>
      </w:r>
    </w:p>
    <w:p w14:paraId="05EEF7ED" w14:textId="77777777" w:rsidR="004F3939" w:rsidRDefault="004F3939" w:rsidP="00C44299">
      <w:pPr>
        <w:pStyle w:val="ListParagraph"/>
        <w:numPr>
          <w:ilvl w:val="1"/>
          <w:numId w:val="8"/>
        </w:numPr>
        <w:spacing w:after="200"/>
        <w:contextualSpacing/>
        <w:jc w:val="both"/>
      </w:pPr>
      <w:r>
        <w:t>If patient requires F2F appointment (e.g. pelvic pain with coil, neurological symptoms following implant procedures), determine if patient is self-isolating or has covid-19 symptoms. If yes and non-urgent, advise to review once self isolation is completed. If yes and emergency, advise patient to call 111 or 999 and review on COVID ward</w:t>
      </w:r>
    </w:p>
    <w:p w14:paraId="69B86418" w14:textId="2833CB08" w:rsidR="004F3939" w:rsidRPr="00C44299" w:rsidRDefault="004F3939" w:rsidP="004F3939">
      <w:pPr>
        <w:pStyle w:val="ListParagraph"/>
        <w:numPr>
          <w:ilvl w:val="2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t>If patient not self-isolating and no covid-19 symptoms, arrange F2F appointment</w:t>
      </w:r>
    </w:p>
    <w:p w14:paraId="61E4EDAB" w14:textId="6B5100BD" w:rsidR="00AE3119" w:rsidRDefault="004F3939" w:rsidP="004F39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313C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D963DE3" w14:textId="77777777" w:rsidR="00AE3119" w:rsidRDefault="00AE311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br w:type="page"/>
      </w:r>
    </w:p>
    <w:p w14:paraId="288021D7" w14:textId="77777777" w:rsidR="00F42283" w:rsidRDefault="00F42283" w:rsidP="004F39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  <w:sectPr w:rsidR="00F42283" w:rsidSect="00841E6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97DD493" w14:textId="7E0532F0" w:rsidR="004F3939" w:rsidRDefault="004F3939" w:rsidP="004F39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1263102" w14:textId="6796D42A" w:rsidR="004F3939" w:rsidRDefault="00F42283" w:rsidP="00B00D8D">
      <w:pPr>
        <w:pStyle w:val="Heading2"/>
        <w:jc w:val="center"/>
      </w:pPr>
      <w:r>
        <w:t>Covid-19 contraception algorithm</w:t>
      </w:r>
    </w:p>
    <w:p w14:paraId="20563C0F" w14:textId="727E146A" w:rsidR="00F42283" w:rsidRDefault="00F42283" w:rsidP="00CA2BA8">
      <w:pPr>
        <w:jc w:val="center"/>
      </w:pPr>
      <w:r w:rsidRPr="00F42283">
        <w:rPr>
          <w:noProof/>
          <w:lang w:val="en-GB" w:eastAsia="en-GB"/>
        </w:rPr>
        <w:drawing>
          <wp:inline distT="0" distB="0" distL="0" distR="0" wp14:anchorId="69E21998" wp14:editId="0CFC6C44">
            <wp:extent cx="9540240" cy="5382948"/>
            <wp:effectExtent l="0" t="0" r="381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5751" cy="53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283" w:rsidSect="00B00D8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55AD6D" w15:done="0"/>
  <w15:commentEx w15:paraId="3DF81E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55AD6D" w16cid:durableId="222313D7"/>
  <w16cid:commentId w16cid:paraId="3DF81E9D" w16cid:durableId="22231A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F74"/>
    <w:multiLevelType w:val="hybridMultilevel"/>
    <w:tmpl w:val="B3D6A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C50B1"/>
    <w:multiLevelType w:val="hybridMultilevel"/>
    <w:tmpl w:val="45E83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6EE6"/>
    <w:multiLevelType w:val="hybridMultilevel"/>
    <w:tmpl w:val="BF409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4A50"/>
    <w:multiLevelType w:val="hybridMultilevel"/>
    <w:tmpl w:val="45D8E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61DCA"/>
    <w:multiLevelType w:val="hybridMultilevel"/>
    <w:tmpl w:val="11DC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366A3"/>
    <w:multiLevelType w:val="hybridMultilevel"/>
    <w:tmpl w:val="4D5AF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64556"/>
    <w:multiLevelType w:val="hybridMultilevel"/>
    <w:tmpl w:val="60424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0667C"/>
    <w:multiLevelType w:val="hybridMultilevel"/>
    <w:tmpl w:val="D21C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C1AC6"/>
    <w:multiLevelType w:val="hybridMultilevel"/>
    <w:tmpl w:val="B06A5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a Thornhill">
    <w15:presenceInfo w15:providerId="None" w15:userId="Mona Thornhi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A8"/>
    <w:rsid w:val="00101E28"/>
    <w:rsid w:val="00161BF8"/>
    <w:rsid w:val="003B4023"/>
    <w:rsid w:val="003C58AA"/>
    <w:rsid w:val="00456184"/>
    <w:rsid w:val="004F3939"/>
    <w:rsid w:val="005670E4"/>
    <w:rsid w:val="005F2B26"/>
    <w:rsid w:val="00727822"/>
    <w:rsid w:val="00796D9D"/>
    <w:rsid w:val="00812791"/>
    <w:rsid w:val="008274EB"/>
    <w:rsid w:val="00841E64"/>
    <w:rsid w:val="008924BF"/>
    <w:rsid w:val="0093070A"/>
    <w:rsid w:val="00973946"/>
    <w:rsid w:val="00AD5A71"/>
    <w:rsid w:val="00AE3119"/>
    <w:rsid w:val="00B00D8D"/>
    <w:rsid w:val="00B41EA8"/>
    <w:rsid w:val="00B702CE"/>
    <w:rsid w:val="00BE7E50"/>
    <w:rsid w:val="00C44299"/>
    <w:rsid w:val="00C444E2"/>
    <w:rsid w:val="00C92AE9"/>
    <w:rsid w:val="00CA21B4"/>
    <w:rsid w:val="00CA2BA8"/>
    <w:rsid w:val="00CC2F29"/>
    <w:rsid w:val="00D14F92"/>
    <w:rsid w:val="00D813A9"/>
    <w:rsid w:val="00D95890"/>
    <w:rsid w:val="00DC04F9"/>
    <w:rsid w:val="00F17EF0"/>
    <w:rsid w:val="00F4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9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0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4F9"/>
    <w:rPr>
      <w:b/>
      <w:bCs/>
      <w:sz w:val="20"/>
      <w:szCs w:val="20"/>
    </w:rPr>
  </w:style>
  <w:style w:type="paragraph" w:styleId="NoSpacing">
    <w:name w:val="No Spacing"/>
    <w:uiPriority w:val="1"/>
    <w:qFormat/>
    <w:rsid w:val="00C92AE9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702CE"/>
    <w:pPr>
      <w:spacing w:after="0" w:line="240" w:lineRule="auto"/>
      <w:ind w:left="720"/>
    </w:pPr>
    <w:rPr>
      <w:rFonts w:ascii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72782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F39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39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F39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table" w:customStyle="1" w:styleId="GridTable5DarkAccent1">
    <w:name w:val="Grid Table 5 Dark Accent 1"/>
    <w:basedOn w:val="TableNormal"/>
    <w:uiPriority w:val="50"/>
    <w:rsid w:val="00F422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8274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0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4F9"/>
    <w:rPr>
      <w:b/>
      <w:bCs/>
      <w:sz w:val="20"/>
      <w:szCs w:val="20"/>
    </w:rPr>
  </w:style>
  <w:style w:type="paragraph" w:styleId="NoSpacing">
    <w:name w:val="No Spacing"/>
    <w:uiPriority w:val="1"/>
    <w:qFormat/>
    <w:rsid w:val="00C92AE9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702CE"/>
    <w:pPr>
      <w:spacing w:after="0" w:line="240" w:lineRule="auto"/>
      <w:ind w:left="720"/>
    </w:pPr>
    <w:rPr>
      <w:rFonts w:ascii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72782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F39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39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F39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table" w:customStyle="1" w:styleId="GridTable5DarkAccent1">
    <w:name w:val="Grid Table 5 Dark Accent 1"/>
    <w:basedOn w:val="TableNormal"/>
    <w:uiPriority w:val="50"/>
    <w:rsid w:val="00F422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827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doctor.lloydspharmacy.com/uk/sti-tes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ht.org.uk/our-services/phone-and-post/free-chlamydia-postal-test-ki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www.zavamed.com/u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ettle.health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AB3E-4527-40B8-9AA2-D5934305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Healthcare NHS Trust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 Angela (Bucks Healthcare)</dc:creator>
  <cp:lastModifiedBy>John McSorley</cp:lastModifiedBy>
  <cp:revision>2</cp:revision>
  <dcterms:created xsi:type="dcterms:W3CDTF">2020-03-24T12:21:00Z</dcterms:created>
  <dcterms:modified xsi:type="dcterms:W3CDTF">2020-03-24T12:21:00Z</dcterms:modified>
</cp:coreProperties>
</file>