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44521" w14:textId="77777777" w:rsidR="00BA4501" w:rsidRPr="00440582" w:rsidRDefault="00BA4501" w:rsidP="00BA4501">
      <w:pPr>
        <w:pStyle w:val="BodyText"/>
        <w:rPr>
          <w:szCs w:val="21"/>
        </w:rPr>
      </w:pPr>
      <w:r w:rsidRPr="00440582">
        <w:rPr>
          <w:b/>
          <w:szCs w:val="21"/>
        </w:rPr>
        <w:t>BRITISH ASSOCIATION FOR SEXUAL HEALTH AND HIV</w:t>
      </w:r>
      <w:r w:rsidRPr="00440582">
        <w:rPr>
          <w:szCs w:val="21"/>
        </w:rPr>
        <w:t xml:space="preserve"> (the Company)</w:t>
      </w:r>
    </w:p>
    <w:p w14:paraId="612CF4F4" w14:textId="42C6C1B7" w:rsidR="00BA4501" w:rsidRPr="00440582" w:rsidRDefault="00BA4501" w:rsidP="00BA4501">
      <w:pPr>
        <w:rPr>
          <w:szCs w:val="21"/>
        </w:rPr>
      </w:pPr>
      <w:r w:rsidRPr="00440582">
        <w:rPr>
          <w:b/>
          <w:szCs w:val="21"/>
        </w:rPr>
        <w:t>Annual General Meeting 201</w:t>
      </w:r>
      <w:r w:rsidR="0016311A">
        <w:rPr>
          <w:b/>
          <w:szCs w:val="21"/>
        </w:rPr>
        <w:t>9</w:t>
      </w:r>
    </w:p>
    <w:p w14:paraId="14BE190C" w14:textId="77777777" w:rsidR="00BA4501" w:rsidRPr="00440582" w:rsidRDefault="00BA4501" w:rsidP="00BA4501">
      <w:pPr>
        <w:rPr>
          <w:szCs w:val="21"/>
        </w:rPr>
      </w:pPr>
      <w:r w:rsidRPr="00440582">
        <w:rPr>
          <w:b/>
          <w:szCs w:val="21"/>
        </w:rPr>
        <w:t>Proxy Form</w:t>
      </w:r>
    </w:p>
    <w:p w14:paraId="5BD3A41E" w14:textId="77777777" w:rsidR="00BA4501" w:rsidRPr="00440582" w:rsidRDefault="00BA4501" w:rsidP="00BA4501">
      <w:pPr>
        <w:rPr>
          <w:szCs w:val="21"/>
        </w:rPr>
      </w:pPr>
      <w:r w:rsidRPr="00440582">
        <w:rPr>
          <w:szCs w:val="21"/>
        </w:rPr>
        <w:t xml:space="preserve">Before completing this form, please read the explanatory notes below. </w:t>
      </w:r>
    </w:p>
    <w:p w14:paraId="614C0D08" w14:textId="551AFC1D" w:rsidR="00BA4501" w:rsidRPr="00440582" w:rsidRDefault="00BA4501" w:rsidP="00BA4501">
      <w:pPr>
        <w:pStyle w:val="BodyText"/>
        <w:rPr>
          <w:szCs w:val="21"/>
        </w:rPr>
      </w:pPr>
      <w:r w:rsidRPr="00440582">
        <w:rPr>
          <w:szCs w:val="21"/>
        </w:rPr>
        <w:t xml:space="preserve">I,                                                                                      (print name), being a member of the Company appoint the President of the board of trustees of the Company, </w:t>
      </w:r>
      <w:r w:rsidR="0016311A">
        <w:rPr>
          <w:szCs w:val="21"/>
        </w:rPr>
        <w:t>Dr Olwen Williams</w:t>
      </w:r>
      <w:r w:rsidRPr="00440582">
        <w:rPr>
          <w:szCs w:val="21"/>
        </w:rPr>
        <w:t xml:space="preserve"> or (see note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BA4501" w:rsidRPr="00440582" w14:paraId="42C83D25" w14:textId="77777777" w:rsidTr="00580CBF">
        <w:tc>
          <w:tcPr>
            <w:tcW w:w="8919" w:type="dxa"/>
          </w:tcPr>
          <w:p w14:paraId="3D9CC898" w14:textId="77777777" w:rsidR="00BA4501" w:rsidRPr="00440582" w:rsidRDefault="00BA4501" w:rsidP="00580CBF">
            <w:pPr>
              <w:pStyle w:val="BodyText"/>
              <w:rPr>
                <w:szCs w:val="21"/>
              </w:rPr>
            </w:pPr>
            <w:r w:rsidRPr="00440582">
              <w:rPr>
                <w:szCs w:val="21"/>
              </w:rPr>
              <w:t> </w:t>
            </w:r>
          </w:p>
        </w:tc>
      </w:tr>
    </w:tbl>
    <w:p w14:paraId="16DE8AB0" w14:textId="5FF8D335" w:rsidR="00BA4501" w:rsidRPr="00440582" w:rsidRDefault="00BA4501" w:rsidP="00BA4501">
      <w:pPr>
        <w:pStyle w:val="BodyText"/>
        <w:rPr>
          <w:szCs w:val="21"/>
        </w:rPr>
      </w:pPr>
      <w:proofErr w:type="gramStart"/>
      <w:r w:rsidRPr="00440582">
        <w:rPr>
          <w:szCs w:val="21"/>
        </w:rPr>
        <w:t>as</w:t>
      </w:r>
      <w:proofErr w:type="gramEnd"/>
      <w:r w:rsidRPr="00440582">
        <w:rPr>
          <w:szCs w:val="21"/>
        </w:rPr>
        <w:t xml:space="preserve"> my proxy to attend, speak and vote on my/our behalf at the annual general meeting of the Company to be held on</w:t>
      </w:r>
      <w:r w:rsidR="0016311A">
        <w:rPr>
          <w:szCs w:val="21"/>
        </w:rPr>
        <w:t xml:space="preserve"> Friday 11</w:t>
      </w:r>
      <w:r w:rsidR="00DF13DC">
        <w:rPr>
          <w:szCs w:val="21"/>
        </w:rPr>
        <w:t>th</w:t>
      </w:r>
      <w:r>
        <w:rPr>
          <w:szCs w:val="21"/>
        </w:rPr>
        <w:t xml:space="preserve"> </w:t>
      </w:r>
      <w:r w:rsidR="0016311A">
        <w:rPr>
          <w:szCs w:val="21"/>
        </w:rPr>
        <w:t>January 2019</w:t>
      </w:r>
      <w:r w:rsidR="00B103A9">
        <w:rPr>
          <w:szCs w:val="21"/>
        </w:rPr>
        <w:t xml:space="preserve"> at 17</w:t>
      </w:r>
      <w:r w:rsidR="0019379D">
        <w:rPr>
          <w:szCs w:val="21"/>
        </w:rPr>
        <w:t>.3</w:t>
      </w:r>
      <w:r w:rsidRPr="00307A78">
        <w:rPr>
          <w:szCs w:val="21"/>
        </w:rPr>
        <w:t xml:space="preserve">0 </w:t>
      </w:r>
      <w:r w:rsidR="0019379D">
        <w:rPr>
          <w:szCs w:val="21"/>
        </w:rPr>
        <w:t xml:space="preserve">hrs </w:t>
      </w:r>
      <w:r w:rsidRPr="00307A78">
        <w:rPr>
          <w:szCs w:val="21"/>
        </w:rPr>
        <w:t>and at</w:t>
      </w:r>
      <w:r w:rsidRPr="00440582">
        <w:rPr>
          <w:szCs w:val="21"/>
        </w:rPr>
        <w:t xml:space="preserve"> any adjournment of the meeting.</w:t>
      </w:r>
    </w:p>
    <w:p w14:paraId="727B3808" w14:textId="77777777" w:rsidR="00BA4501" w:rsidRPr="00440582" w:rsidRDefault="00BA4501" w:rsidP="00BA4501">
      <w:pPr>
        <w:pStyle w:val="BodyText"/>
        <w:rPr>
          <w:szCs w:val="21"/>
        </w:rPr>
      </w:pPr>
      <w:bookmarkStart w:id="0" w:name="a215132"/>
      <w:r w:rsidRPr="00440582">
        <w:rPr>
          <w:szCs w:val="21"/>
        </w:rPr>
        <w:t>I direct my proxy to vote on the following resolutions as I have indicated by marking the appropriate box with an 'X'. If no indication is given, my proxy will vote or abstain from voting at his or her discretion and I authorise my proxy to vote (or abstain from voting) as he or she thinks fit in relation to any other matter which is put before the meeting.</w:t>
      </w:r>
      <w:bookmarkStart w:id="1" w:name="a119503"/>
      <w:bookmarkEnd w:id="0"/>
      <w:bookmarkEnd w:id="1"/>
    </w:p>
    <w:p w14:paraId="7C2190A6" w14:textId="77777777" w:rsidR="00BA4501" w:rsidRPr="00440582" w:rsidRDefault="00BA4501" w:rsidP="00BA4501">
      <w:pPr>
        <w:pStyle w:val="BodyText"/>
        <w:spacing w:before="0" w:after="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0"/>
        <w:gridCol w:w="2230"/>
        <w:gridCol w:w="2230"/>
      </w:tblGrid>
      <w:tr w:rsidR="00BA4501" w:rsidRPr="00440582" w14:paraId="64401FF4" w14:textId="77777777" w:rsidTr="00580CBF">
        <w:tc>
          <w:tcPr>
            <w:tcW w:w="4460" w:type="dxa"/>
          </w:tcPr>
          <w:p w14:paraId="2EB7395A" w14:textId="77777777" w:rsidR="00BA4501" w:rsidRPr="00440582" w:rsidRDefault="00BA4501" w:rsidP="00580CBF">
            <w:pPr>
              <w:pStyle w:val="BodyText"/>
              <w:rPr>
                <w:szCs w:val="21"/>
              </w:rPr>
            </w:pPr>
            <w:r w:rsidRPr="00440582">
              <w:rPr>
                <w:b/>
                <w:szCs w:val="21"/>
              </w:rPr>
              <w:t>RESOLUTIONS</w:t>
            </w:r>
          </w:p>
        </w:tc>
        <w:tc>
          <w:tcPr>
            <w:tcW w:w="2230" w:type="dxa"/>
          </w:tcPr>
          <w:p w14:paraId="461FEDB6" w14:textId="77777777" w:rsidR="00BA4501" w:rsidRPr="00440582" w:rsidRDefault="00BA4501" w:rsidP="00580CBF">
            <w:pPr>
              <w:pStyle w:val="BodyText"/>
              <w:jc w:val="center"/>
              <w:rPr>
                <w:szCs w:val="21"/>
              </w:rPr>
            </w:pPr>
            <w:r w:rsidRPr="00440582">
              <w:rPr>
                <w:szCs w:val="21"/>
              </w:rPr>
              <w:t>For</w:t>
            </w:r>
          </w:p>
        </w:tc>
        <w:tc>
          <w:tcPr>
            <w:tcW w:w="2230" w:type="dxa"/>
          </w:tcPr>
          <w:p w14:paraId="51EF4BEA" w14:textId="77777777" w:rsidR="00BA4501" w:rsidRPr="00440582" w:rsidRDefault="00BA4501" w:rsidP="00580CBF">
            <w:pPr>
              <w:pStyle w:val="BodyText"/>
              <w:jc w:val="center"/>
              <w:rPr>
                <w:szCs w:val="21"/>
              </w:rPr>
            </w:pPr>
            <w:r w:rsidRPr="00440582">
              <w:rPr>
                <w:szCs w:val="21"/>
              </w:rPr>
              <w:t>Against</w:t>
            </w:r>
          </w:p>
        </w:tc>
      </w:tr>
      <w:tr w:rsidR="00BA4501" w:rsidRPr="00440582" w14:paraId="5E3DBB26" w14:textId="77777777" w:rsidTr="00580CBF">
        <w:tc>
          <w:tcPr>
            <w:tcW w:w="4460" w:type="dxa"/>
          </w:tcPr>
          <w:p w14:paraId="0B16CC94" w14:textId="46A8147F" w:rsidR="00BA4501" w:rsidRPr="00440582" w:rsidRDefault="00BA4501" w:rsidP="00BA4501">
            <w:pPr>
              <w:pStyle w:val="BodyText"/>
              <w:numPr>
                <w:ilvl w:val="0"/>
                <w:numId w:val="2"/>
              </w:numPr>
              <w:rPr>
                <w:szCs w:val="21"/>
              </w:rPr>
            </w:pPr>
            <w:r w:rsidRPr="00440582">
              <w:rPr>
                <w:szCs w:val="21"/>
              </w:rPr>
              <w:t>to receive the audited accounts</w:t>
            </w:r>
            <w:r w:rsidR="007A352A">
              <w:rPr>
                <w:szCs w:val="21"/>
              </w:rPr>
              <w:t xml:space="preserve"> for the peri</w:t>
            </w:r>
            <w:r w:rsidR="0016311A">
              <w:rPr>
                <w:szCs w:val="21"/>
              </w:rPr>
              <w:t>od 1 August 2017 to 31 July 2018</w:t>
            </w:r>
            <w:bookmarkStart w:id="2" w:name="_GoBack"/>
            <w:bookmarkEnd w:id="2"/>
            <w:r w:rsidRPr="00440582">
              <w:rPr>
                <w:szCs w:val="21"/>
              </w:rPr>
              <w:t xml:space="preserve"> together with the trustees’ and auditors’ reports</w:t>
            </w:r>
          </w:p>
        </w:tc>
        <w:tc>
          <w:tcPr>
            <w:tcW w:w="2230" w:type="dxa"/>
          </w:tcPr>
          <w:p w14:paraId="04B303B0" w14:textId="77777777" w:rsidR="00BA4501" w:rsidRPr="00440582" w:rsidRDefault="00BA4501" w:rsidP="00580CBF">
            <w:pPr>
              <w:pStyle w:val="BodyText"/>
              <w:rPr>
                <w:szCs w:val="21"/>
              </w:rPr>
            </w:pPr>
            <w:r w:rsidRPr="00440582">
              <w:rPr>
                <w:szCs w:val="21"/>
              </w:rPr>
              <w:t> </w:t>
            </w:r>
          </w:p>
        </w:tc>
        <w:tc>
          <w:tcPr>
            <w:tcW w:w="2230" w:type="dxa"/>
          </w:tcPr>
          <w:p w14:paraId="62A13A12" w14:textId="77777777" w:rsidR="00BA4501" w:rsidRPr="00440582" w:rsidRDefault="00BA4501" w:rsidP="00580CBF">
            <w:pPr>
              <w:pStyle w:val="BodyText"/>
              <w:rPr>
                <w:szCs w:val="21"/>
              </w:rPr>
            </w:pPr>
            <w:r w:rsidRPr="00440582">
              <w:rPr>
                <w:szCs w:val="21"/>
              </w:rPr>
              <w:t> </w:t>
            </w:r>
          </w:p>
        </w:tc>
      </w:tr>
      <w:tr w:rsidR="00BA4501" w:rsidRPr="00440582" w14:paraId="613EBC0C" w14:textId="77777777" w:rsidTr="00580CBF">
        <w:tc>
          <w:tcPr>
            <w:tcW w:w="4460" w:type="dxa"/>
          </w:tcPr>
          <w:p w14:paraId="01418F41" w14:textId="77777777" w:rsidR="00BA4501" w:rsidRPr="00440582" w:rsidRDefault="00BA4501" w:rsidP="00BA4501">
            <w:pPr>
              <w:pStyle w:val="BodyText"/>
              <w:numPr>
                <w:ilvl w:val="0"/>
                <w:numId w:val="2"/>
              </w:numPr>
              <w:rPr>
                <w:szCs w:val="21"/>
              </w:rPr>
            </w:pPr>
            <w:r w:rsidRPr="00440582">
              <w:rPr>
                <w:szCs w:val="21"/>
              </w:rPr>
              <w:t>re-appointment of Farringdon &amp; Co of 176 Franciscan Road, London SW17 8HH as auditors of the Company</w:t>
            </w:r>
          </w:p>
        </w:tc>
        <w:tc>
          <w:tcPr>
            <w:tcW w:w="2230" w:type="dxa"/>
          </w:tcPr>
          <w:p w14:paraId="4B215A0C" w14:textId="77777777" w:rsidR="00BA4501" w:rsidRPr="00440582" w:rsidRDefault="00BA4501" w:rsidP="00580CBF">
            <w:pPr>
              <w:pStyle w:val="BodyText"/>
              <w:rPr>
                <w:szCs w:val="21"/>
              </w:rPr>
            </w:pPr>
            <w:r w:rsidRPr="00440582">
              <w:rPr>
                <w:szCs w:val="21"/>
              </w:rPr>
              <w:t> </w:t>
            </w:r>
          </w:p>
        </w:tc>
        <w:tc>
          <w:tcPr>
            <w:tcW w:w="2230" w:type="dxa"/>
          </w:tcPr>
          <w:p w14:paraId="5988695B" w14:textId="77777777" w:rsidR="00BA4501" w:rsidRPr="00440582" w:rsidRDefault="00BA4501" w:rsidP="00580CBF">
            <w:pPr>
              <w:pStyle w:val="BodyText"/>
              <w:rPr>
                <w:szCs w:val="21"/>
              </w:rPr>
            </w:pPr>
            <w:r w:rsidRPr="00440582">
              <w:rPr>
                <w:szCs w:val="21"/>
              </w:rPr>
              <w:t> </w:t>
            </w:r>
          </w:p>
        </w:tc>
      </w:tr>
      <w:tr w:rsidR="00BA4501" w:rsidRPr="00440582" w14:paraId="009FA141" w14:textId="77777777" w:rsidTr="00580CBF">
        <w:tc>
          <w:tcPr>
            <w:tcW w:w="4460" w:type="dxa"/>
          </w:tcPr>
          <w:p w14:paraId="3EC0F918" w14:textId="77777777" w:rsidR="00BA4501" w:rsidRPr="00440582" w:rsidRDefault="00BA4501" w:rsidP="00BA4501">
            <w:pPr>
              <w:pStyle w:val="BodyText"/>
              <w:numPr>
                <w:ilvl w:val="0"/>
                <w:numId w:val="2"/>
              </w:numPr>
              <w:rPr>
                <w:szCs w:val="21"/>
              </w:rPr>
            </w:pPr>
            <w:r>
              <w:rPr>
                <w:szCs w:val="21"/>
              </w:rPr>
              <w:t>a</w:t>
            </w:r>
            <w:r w:rsidRPr="00440582">
              <w:rPr>
                <w:szCs w:val="21"/>
              </w:rPr>
              <w:t>uthorisation of the board of trustees of the Company to determine the remuneration of the auditors of the Company</w:t>
            </w:r>
          </w:p>
        </w:tc>
        <w:tc>
          <w:tcPr>
            <w:tcW w:w="2230" w:type="dxa"/>
          </w:tcPr>
          <w:p w14:paraId="0C20D44E" w14:textId="77777777" w:rsidR="00BA4501" w:rsidRPr="00440582" w:rsidRDefault="00BA4501" w:rsidP="00580CBF">
            <w:pPr>
              <w:pStyle w:val="BodyText"/>
              <w:rPr>
                <w:szCs w:val="21"/>
              </w:rPr>
            </w:pPr>
          </w:p>
        </w:tc>
        <w:tc>
          <w:tcPr>
            <w:tcW w:w="2230" w:type="dxa"/>
          </w:tcPr>
          <w:p w14:paraId="627D6BDB" w14:textId="77777777" w:rsidR="00BA4501" w:rsidRPr="00440582" w:rsidRDefault="00BA4501" w:rsidP="00580CBF">
            <w:pPr>
              <w:pStyle w:val="BodyText"/>
              <w:rPr>
                <w:szCs w:val="21"/>
              </w:rPr>
            </w:pPr>
          </w:p>
        </w:tc>
      </w:tr>
    </w:tbl>
    <w:p w14:paraId="06F9F549" w14:textId="77777777" w:rsidR="00BA4501" w:rsidRPr="00440582" w:rsidRDefault="00BA4501" w:rsidP="00BA4501">
      <w:pPr>
        <w:pStyle w:val="BodyText"/>
        <w:rPr>
          <w:szCs w:val="21"/>
        </w:rPr>
      </w:pPr>
      <w:r w:rsidRPr="00440582">
        <w:rPr>
          <w:szCs w:val="21"/>
        </w:rPr>
        <w:t xml:space="preserve"> </w:t>
      </w:r>
      <w:bookmarkStart w:id="3" w:name="a581281"/>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3"/>
        <w:gridCol w:w="2676"/>
      </w:tblGrid>
      <w:tr w:rsidR="00BA4501" w:rsidRPr="00440582" w14:paraId="4A5D29B3" w14:textId="77777777" w:rsidTr="00580CBF">
        <w:tc>
          <w:tcPr>
            <w:tcW w:w="6243" w:type="dxa"/>
          </w:tcPr>
          <w:p w14:paraId="3E43AD9D" w14:textId="77777777" w:rsidR="00BA4501" w:rsidRPr="00440582" w:rsidRDefault="00BA4501" w:rsidP="00580CBF">
            <w:pPr>
              <w:pStyle w:val="BodyText"/>
              <w:rPr>
                <w:szCs w:val="21"/>
              </w:rPr>
            </w:pPr>
            <w:r w:rsidRPr="00440582">
              <w:rPr>
                <w:b/>
                <w:szCs w:val="21"/>
              </w:rPr>
              <w:t>Signature</w:t>
            </w:r>
          </w:p>
        </w:tc>
        <w:tc>
          <w:tcPr>
            <w:tcW w:w="2676" w:type="dxa"/>
          </w:tcPr>
          <w:p w14:paraId="456838F0" w14:textId="77777777" w:rsidR="00BA4501" w:rsidRPr="00440582" w:rsidRDefault="00BA4501" w:rsidP="00580CBF">
            <w:pPr>
              <w:pStyle w:val="BodyText"/>
              <w:rPr>
                <w:szCs w:val="21"/>
              </w:rPr>
            </w:pPr>
            <w:r w:rsidRPr="00440582">
              <w:rPr>
                <w:b/>
                <w:szCs w:val="21"/>
              </w:rPr>
              <w:t>Date</w:t>
            </w:r>
          </w:p>
        </w:tc>
      </w:tr>
      <w:tr w:rsidR="00BA4501" w:rsidRPr="00440582" w14:paraId="548052B6" w14:textId="77777777" w:rsidTr="00580CBF">
        <w:tc>
          <w:tcPr>
            <w:tcW w:w="6243" w:type="dxa"/>
          </w:tcPr>
          <w:p w14:paraId="7315A20C" w14:textId="77777777" w:rsidR="00BA4501" w:rsidRPr="00440582" w:rsidRDefault="00BA4501" w:rsidP="00580CBF">
            <w:pPr>
              <w:pStyle w:val="BodyText"/>
              <w:rPr>
                <w:szCs w:val="21"/>
              </w:rPr>
            </w:pPr>
            <w:r w:rsidRPr="00440582">
              <w:rPr>
                <w:szCs w:val="21"/>
              </w:rPr>
              <w:t> </w:t>
            </w:r>
          </w:p>
        </w:tc>
        <w:tc>
          <w:tcPr>
            <w:tcW w:w="2676" w:type="dxa"/>
          </w:tcPr>
          <w:p w14:paraId="1FF6A763" w14:textId="77777777" w:rsidR="00BA4501" w:rsidRPr="00440582" w:rsidRDefault="00BA4501" w:rsidP="00580CBF">
            <w:pPr>
              <w:pStyle w:val="BodyText"/>
              <w:rPr>
                <w:szCs w:val="21"/>
              </w:rPr>
            </w:pPr>
            <w:r w:rsidRPr="00440582">
              <w:rPr>
                <w:szCs w:val="21"/>
              </w:rPr>
              <w:t> </w:t>
            </w:r>
          </w:p>
        </w:tc>
      </w:tr>
    </w:tbl>
    <w:p w14:paraId="59F1F079" w14:textId="77777777" w:rsidR="00BA4501" w:rsidRPr="00440582" w:rsidRDefault="00BA4501" w:rsidP="00BA4501">
      <w:pPr>
        <w:pStyle w:val="BodyText"/>
        <w:rPr>
          <w:szCs w:val="21"/>
        </w:rPr>
      </w:pPr>
    </w:p>
    <w:p w14:paraId="31A3426D" w14:textId="77777777" w:rsidR="00BA4501" w:rsidRPr="00440582" w:rsidRDefault="00BA4501" w:rsidP="00BA4501">
      <w:pPr>
        <w:pStyle w:val="BodyText"/>
        <w:rPr>
          <w:szCs w:val="21"/>
        </w:rPr>
      </w:pPr>
      <w:bookmarkStart w:id="4" w:name="a608460"/>
      <w:r w:rsidRPr="00440582">
        <w:rPr>
          <w:b/>
          <w:szCs w:val="21"/>
        </w:rPr>
        <w:t>Notes to the proxy form</w:t>
      </w:r>
      <w:bookmarkEnd w:id="4"/>
    </w:p>
    <w:p w14:paraId="5F381BB9" w14:textId="77777777" w:rsidR="00BA4501" w:rsidRPr="00440582" w:rsidRDefault="00BA4501" w:rsidP="00BA4501">
      <w:pPr>
        <w:pStyle w:val="BodyText"/>
        <w:rPr>
          <w:szCs w:val="21"/>
        </w:rPr>
      </w:pPr>
      <w:r w:rsidRPr="00440582">
        <w:rPr>
          <w:szCs w:val="21"/>
        </w:rPr>
        <w:t>1. As a member of the Company you are entitled to appoint a proxy to exercise all or any of your rights to attend, speak and vote at a general meeting of the Company. You can only appoint a proxy using the procedure set out in these notes.</w:t>
      </w:r>
    </w:p>
    <w:p w14:paraId="068C7708" w14:textId="77777777" w:rsidR="00BA4501" w:rsidRPr="00440582" w:rsidRDefault="00BA4501" w:rsidP="00BA4501">
      <w:pPr>
        <w:pStyle w:val="BodyText"/>
        <w:rPr>
          <w:szCs w:val="21"/>
        </w:rPr>
      </w:pPr>
      <w:r w:rsidRPr="00440582">
        <w:rPr>
          <w:szCs w:val="21"/>
        </w:rPr>
        <w:t>2. Appointment of a proxy does not preclude you from attending the meeting and voting in person. If you have appointed a proxy and attend the meeting in person, your proxy appointment will automatically be terminated.</w:t>
      </w:r>
    </w:p>
    <w:p w14:paraId="55BF13D2" w14:textId="77777777" w:rsidR="00BA4501" w:rsidRPr="00440582" w:rsidRDefault="00BA4501" w:rsidP="00BA4501">
      <w:pPr>
        <w:pStyle w:val="BodyText"/>
        <w:rPr>
          <w:szCs w:val="21"/>
        </w:rPr>
      </w:pPr>
      <w:r w:rsidRPr="00440582">
        <w:rPr>
          <w:szCs w:val="21"/>
        </w:rPr>
        <w:t xml:space="preserve">3. A proxy does not need to be a member of the Company but must attend the meeting to represent you. To appoint as your proxy a person other than the President of the trustees of the Company, insert their full name in the box. If you sign and return this proxy form with no name </w:t>
      </w:r>
      <w:r w:rsidRPr="00440582">
        <w:rPr>
          <w:szCs w:val="21"/>
        </w:rPr>
        <w:lastRenderedPageBreak/>
        <w:t>inserted in the box, the President, who will be chairing the meeting, will be deemed to be your proxy. Where you appoint as your proxy someone other than the President, you are responsible for ensuring that they attend the meeting and are aware of your voting intentions. If you wish your proxy to make any comments on your behalf, you will need to appoint someone other than the President and give them the relevant instructions directly.</w:t>
      </w:r>
    </w:p>
    <w:p w14:paraId="1E6835AF" w14:textId="77777777" w:rsidR="00BA4501" w:rsidRPr="00440582" w:rsidRDefault="00BA4501" w:rsidP="00BA4501">
      <w:pPr>
        <w:pStyle w:val="BodyText"/>
        <w:rPr>
          <w:szCs w:val="21"/>
        </w:rPr>
      </w:pPr>
      <w:r w:rsidRPr="00440582">
        <w:rPr>
          <w:szCs w:val="21"/>
        </w:rPr>
        <w:t>4.  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1EE03E9D" w14:textId="77777777" w:rsidR="00BA4501" w:rsidRPr="00440582" w:rsidRDefault="00BA4501" w:rsidP="00BA4501">
      <w:pPr>
        <w:pStyle w:val="BodyText"/>
        <w:rPr>
          <w:szCs w:val="21"/>
        </w:rPr>
      </w:pPr>
      <w:r w:rsidRPr="00440582">
        <w:rPr>
          <w:szCs w:val="21"/>
        </w:rPr>
        <w:t xml:space="preserve">5. To appoint a proxy using this form, the form must be: </w:t>
      </w:r>
    </w:p>
    <w:p w14:paraId="1BCEBDD1" w14:textId="77777777" w:rsidR="00BA4501" w:rsidRPr="00440582" w:rsidRDefault="00BA4501" w:rsidP="00BA4501">
      <w:pPr>
        <w:pStyle w:val="Bullet1"/>
        <w:rPr>
          <w:szCs w:val="21"/>
        </w:rPr>
      </w:pPr>
      <w:r w:rsidRPr="00440582">
        <w:rPr>
          <w:szCs w:val="21"/>
        </w:rPr>
        <w:t>Completed and signed</w:t>
      </w:r>
      <w:r>
        <w:rPr>
          <w:szCs w:val="21"/>
        </w:rPr>
        <w:t xml:space="preserve"> by you or by someone duly authorised on your behalf</w:t>
      </w:r>
      <w:r w:rsidRPr="00440582">
        <w:rPr>
          <w:szCs w:val="21"/>
        </w:rPr>
        <w:t>;</w:t>
      </w:r>
    </w:p>
    <w:p w14:paraId="6554B7EA" w14:textId="77777777" w:rsidR="00BA4501" w:rsidRPr="00440582" w:rsidRDefault="00BA4501" w:rsidP="00BA4501">
      <w:pPr>
        <w:pStyle w:val="Bullet1"/>
        <w:spacing w:line="240" w:lineRule="auto"/>
        <w:rPr>
          <w:szCs w:val="21"/>
        </w:rPr>
      </w:pPr>
      <w:r w:rsidRPr="00440582">
        <w:rPr>
          <w:szCs w:val="21"/>
        </w:rPr>
        <w:t>Sent or delivered</w:t>
      </w:r>
      <w:r w:rsidR="0019379D">
        <w:rPr>
          <w:szCs w:val="21"/>
        </w:rPr>
        <w:t xml:space="preserve"> for the attention of Ben </w:t>
      </w:r>
      <w:proofErr w:type="spellStart"/>
      <w:r w:rsidR="0019379D">
        <w:rPr>
          <w:szCs w:val="21"/>
        </w:rPr>
        <w:t>Halton</w:t>
      </w:r>
      <w:proofErr w:type="spellEnd"/>
      <w:r w:rsidRPr="00440582">
        <w:rPr>
          <w:szCs w:val="21"/>
        </w:rPr>
        <w:t xml:space="preserve"> at Electoral Reform Services Limited, The Election Centre, 33 Clarendon Road, London N8 0NW, who are acting on behalf of the Company; and</w:t>
      </w:r>
    </w:p>
    <w:p w14:paraId="7E2086A9" w14:textId="77777777" w:rsidR="00BA4501" w:rsidRPr="00440582" w:rsidRDefault="00BA4501" w:rsidP="00BA4501">
      <w:pPr>
        <w:pStyle w:val="Bullet1"/>
        <w:spacing w:line="240" w:lineRule="auto"/>
        <w:rPr>
          <w:szCs w:val="21"/>
        </w:rPr>
      </w:pPr>
      <w:r w:rsidRPr="00440582">
        <w:rPr>
          <w:szCs w:val="21"/>
        </w:rPr>
        <w:t>Received by Electoral Reform Services Limited at the above address and addressed</w:t>
      </w:r>
      <w:r w:rsidR="007A352A">
        <w:rPr>
          <w:szCs w:val="21"/>
        </w:rPr>
        <w:t xml:space="preserve"> for the attention of Ben</w:t>
      </w:r>
      <w:r w:rsidRPr="00440582">
        <w:rPr>
          <w:szCs w:val="21"/>
        </w:rPr>
        <w:t xml:space="preserve"> </w:t>
      </w:r>
      <w:proofErr w:type="spellStart"/>
      <w:r w:rsidR="0019379D">
        <w:rPr>
          <w:szCs w:val="21"/>
        </w:rPr>
        <w:t>Halton</w:t>
      </w:r>
      <w:proofErr w:type="spellEnd"/>
      <w:r w:rsidR="0019379D">
        <w:rPr>
          <w:szCs w:val="21"/>
        </w:rPr>
        <w:t xml:space="preserve"> </w:t>
      </w:r>
      <w:r w:rsidRPr="00440582">
        <w:rPr>
          <w:szCs w:val="21"/>
        </w:rPr>
        <w:t>no later than 48 hours before the time and date of the meeting.</w:t>
      </w:r>
    </w:p>
    <w:p w14:paraId="40DB0EDC" w14:textId="77777777" w:rsidR="00BA4501" w:rsidRPr="00440582" w:rsidRDefault="00BA4501" w:rsidP="00BA4501">
      <w:pPr>
        <w:pStyle w:val="BodyText"/>
        <w:rPr>
          <w:szCs w:val="21"/>
        </w:rPr>
      </w:pPr>
      <w:r w:rsidRPr="00440582">
        <w:rPr>
          <w:szCs w:val="21"/>
        </w:rPr>
        <w:t>6. Any power of attorney or any other authority under which this proxy form is signed (or a duly certified copy of such power or authority) must be included with the proxy form.</w:t>
      </w:r>
    </w:p>
    <w:p w14:paraId="2ED5E55D" w14:textId="77777777" w:rsidR="00BA4501" w:rsidRPr="00440582" w:rsidRDefault="00BA4501" w:rsidP="00BA4501">
      <w:pPr>
        <w:pStyle w:val="BodyText"/>
        <w:rPr>
          <w:szCs w:val="21"/>
        </w:rPr>
      </w:pPr>
      <w:r w:rsidRPr="00440582">
        <w:rPr>
          <w:szCs w:val="21"/>
        </w:rPr>
        <w:t>7. If you submit more than one valid proxy appointment, the appointment received last before the latest time for the receipt of proxies will take precedence.</w:t>
      </w:r>
    </w:p>
    <w:p w14:paraId="5ECCF9A6" w14:textId="77777777" w:rsidR="00BA4501" w:rsidRPr="00440582" w:rsidRDefault="00BA4501" w:rsidP="00BA4501">
      <w:pPr>
        <w:pStyle w:val="BodyText"/>
        <w:rPr>
          <w:szCs w:val="21"/>
        </w:rPr>
      </w:pPr>
      <w:r w:rsidRPr="00440582">
        <w:rPr>
          <w:szCs w:val="21"/>
        </w:rPr>
        <w:t>8. For details of how to change your proxy instructions or revoke your proxy appointment see the notes to the notice of meeting.</w:t>
      </w:r>
    </w:p>
    <w:p w14:paraId="78923F7A" w14:textId="77777777" w:rsidR="0058003A" w:rsidRDefault="0058003A"/>
    <w:sectPr w:rsidR="0058003A" w:rsidSect="00387B0E">
      <w:footerReference w:type="default" r:id="rId8"/>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22A31" w14:textId="77777777" w:rsidR="00AC5B8D" w:rsidRDefault="00AC5B8D">
      <w:pPr>
        <w:spacing w:before="0" w:after="0"/>
      </w:pPr>
      <w:r>
        <w:separator/>
      </w:r>
    </w:p>
  </w:endnote>
  <w:endnote w:type="continuationSeparator" w:id="0">
    <w:p w14:paraId="73F06CE1" w14:textId="77777777" w:rsidR="00AC5B8D" w:rsidRDefault="00AC5B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F246" w14:textId="77777777" w:rsidR="00387B0E" w:rsidRDefault="00BA4501">
    <w:pPr>
      <w:pStyle w:val="Footer"/>
    </w:pPr>
    <w:r>
      <w:rPr>
        <w:rStyle w:val="PageNumber"/>
      </w:rPr>
      <w:fldChar w:fldCharType="begin"/>
    </w:r>
    <w:r>
      <w:rPr>
        <w:rStyle w:val="PageNumber"/>
      </w:rPr>
      <w:instrText xml:space="preserve"> PAGE </w:instrText>
    </w:r>
    <w:r>
      <w:rPr>
        <w:rStyle w:val="PageNumber"/>
      </w:rPr>
      <w:fldChar w:fldCharType="separate"/>
    </w:r>
    <w:r w:rsidR="0016311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6CE36" w14:textId="77777777" w:rsidR="00AC5B8D" w:rsidRDefault="00AC5B8D">
      <w:pPr>
        <w:spacing w:before="0" w:after="0"/>
      </w:pPr>
      <w:r>
        <w:separator/>
      </w:r>
    </w:p>
  </w:footnote>
  <w:footnote w:type="continuationSeparator" w:id="0">
    <w:p w14:paraId="2F8E5151" w14:textId="77777777" w:rsidR="00AC5B8D" w:rsidRDefault="00AC5B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B5E36"/>
    <w:multiLevelType w:val="hybridMultilevel"/>
    <w:tmpl w:val="1E36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14466B"/>
    <w:multiLevelType w:val="hybridMultilevel"/>
    <w:tmpl w:val="EFF8867A"/>
    <w:lvl w:ilvl="0" w:tplc="E60CE4C2">
      <w:start w:val="1"/>
      <w:numFmt w:val="bullet"/>
      <w:pStyle w:val="Bullet1"/>
      <w:lvlText w:val="·"/>
      <w:lvlJc w:val="left"/>
      <w:pPr>
        <w:tabs>
          <w:tab w:val="num" w:pos="851"/>
        </w:tabs>
        <w:ind w:left="851" w:hanging="851"/>
      </w:pPr>
      <w:rPr>
        <w:rFonts w:ascii="Symbol" w:hAnsi="Symbol" w:hint="default"/>
      </w:rPr>
    </w:lvl>
    <w:lvl w:ilvl="1" w:tplc="08090019" w:tentative="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Symbol" w:hAnsi="Symbol"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01"/>
    <w:rsid w:val="000A2AC8"/>
    <w:rsid w:val="0016311A"/>
    <w:rsid w:val="0019379D"/>
    <w:rsid w:val="0058003A"/>
    <w:rsid w:val="00762E5F"/>
    <w:rsid w:val="007A352A"/>
    <w:rsid w:val="00AC5B8D"/>
    <w:rsid w:val="00B103A9"/>
    <w:rsid w:val="00BA4501"/>
    <w:rsid w:val="00D64282"/>
    <w:rsid w:val="00DF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F65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BA4501"/>
    <w:pPr>
      <w:spacing w:before="120" w:after="120"/>
      <w:jc w:val="both"/>
    </w:pPr>
    <w:rPr>
      <w:rFonts w:ascii="Arial" w:eastAsia="Arial" w:hAnsi="Arial" w:cs="Arial"/>
      <w:sz w:val="2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4501"/>
  </w:style>
  <w:style w:type="character" w:customStyle="1" w:styleId="BodyTextChar">
    <w:name w:val="Body Text Char"/>
    <w:basedOn w:val="DefaultParagraphFont"/>
    <w:link w:val="BodyText"/>
    <w:rsid w:val="00BA4501"/>
    <w:rPr>
      <w:rFonts w:ascii="Arial" w:eastAsia="Arial" w:hAnsi="Arial" w:cs="Arial"/>
      <w:sz w:val="21"/>
      <w:szCs w:val="20"/>
      <w:lang w:val="en-GB"/>
    </w:rPr>
  </w:style>
  <w:style w:type="paragraph" w:styleId="Footer">
    <w:name w:val="footer"/>
    <w:basedOn w:val="Normal"/>
    <w:link w:val="FooterChar"/>
    <w:rsid w:val="00BA4501"/>
    <w:pPr>
      <w:spacing w:after="0"/>
      <w:jc w:val="center"/>
    </w:pPr>
  </w:style>
  <w:style w:type="character" w:customStyle="1" w:styleId="FooterChar">
    <w:name w:val="Footer Char"/>
    <w:basedOn w:val="DefaultParagraphFont"/>
    <w:link w:val="Footer"/>
    <w:rsid w:val="00BA4501"/>
    <w:rPr>
      <w:rFonts w:ascii="Arial" w:eastAsia="Arial" w:hAnsi="Arial" w:cs="Arial"/>
      <w:sz w:val="21"/>
      <w:szCs w:val="20"/>
      <w:lang w:val="en-GB"/>
    </w:rPr>
  </w:style>
  <w:style w:type="character" w:styleId="PageNumber">
    <w:name w:val="page number"/>
    <w:rsid w:val="00BA4501"/>
    <w:rPr>
      <w:sz w:val="20"/>
    </w:rPr>
  </w:style>
  <w:style w:type="paragraph" w:customStyle="1" w:styleId="Bullet1">
    <w:name w:val="Bullet1"/>
    <w:basedOn w:val="Normal"/>
    <w:rsid w:val="00BA4501"/>
    <w:pPr>
      <w:numPr>
        <w:numId w:val="1"/>
      </w:numPr>
      <w:spacing w:line="300" w:lineRule="atLeast"/>
    </w:pPr>
  </w:style>
  <w:style w:type="paragraph" w:styleId="BalloonText">
    <w:name w:val="Balloon Text"/>
    <w:basedOn w:val="Normal"/>
    <w:link w:val="BalloonTextChar"/>
    <w:uiPriority w:val="99"/>
    <w:semiHidden/>
    <w:unhideWhenUsed/>
    <w:rsid w:val="00B103A9"/>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3A9"/>
    <w:rPr>
      <w:rFonts w:ascii="Lucida Grande" w:eastAsia="Arial"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BA4501"/>
    <w:pPr>
      <w:spacing w:before="120" w:after="120"/>
      <w:jc w:val="both"/>
    </w:pPr>
    <w:rPr>
      <w:rFonts w:ascii="Arial" w:eastAsia="Arial" w:hAnsi="Arial" w:cs="Arial"/>
      <w:sz w:val="2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4501"/>
  </w:style>
  <w:style w:type="character" w:customStyle="1" w:styleId="BodyTextChar">
    <w:name w:val="Body Text Char"/>
    <w:basedOn w:val="DefaultParagraphFont"/>
    <w:link w:val="BodyText"/>
    <w:rsid w:val="00BA4501"/>
    <w:rPr>
      <w:rFonts w:ascii="Arial" w:eastAsia="Arial" w:hAnsi="Arial" w:cs="Arial"/>
      <w:sz w:val="21"/>
      <w:szCs w:val="20"/>
      <w:lang w:val="en-GB"/>
    </w:rPr>
  </w:style>
  <w:style w:type="paragraph" w:styleId="Footer">
    <w:name w:val="footer"/>
    <w:basedOn w:val="Normal"/>
    <w:link w:val="FooterChar"/>
    <w:rsid w:val="00BA4501"/>
    <w:pPr>
      <w:spacing w:after="0"/>
      <w:jc w:val="center"/>
    </w:pPr>
  </w:style>
  <w:style w:type="character" w:customStyle="1" w:styleId="FooterChar">
    <w:name w:val="Footer Char"/>
    <w:basedOn w:val="DefaultParagraphFont"/>
    <w:link w:val="Footer"/>
    <w:rsid w:val="00BA4501"/>
    <w:rPr>
      <w:rFonts w:ascii="Arial" w:eastAsia="Arial" w:hAnsi="Arial" w:cs="Arial"/>
      <w:sz w:val="21"/>
      <w:szCs w:val="20"/>
      <w:lang w:val="en-GB"/>
    </w:rPr>
  </w:style>
  <w:style w:type="character" w:styleId="PageNumber">
    <w:name w:val="page number"/>
    <w:rsid w:val="00BA4501"/>
    <w:rPr>
      <w:sz w:val="20"/>
    </w:rPr>
  </w:style>
  <w:style w:type="paragraph" w:customStyle="1" w:styleId="Bullet1">
    <w:name w:val="Bullet1"/>
    <w:basedOn w:val="Normal"/>
    <w:rsid w:val="00BA4501"/>
    <w:pPr>
      <w:numPr>
        <w:numId w:val="1"/>
      </w:numPr>
      <w:spacing w:line="300" w:lineRule="atLeast"/>
    </w:pPr>
  </w:style>
  <w:style w:type="paragraph" w:styleId="BalloonText">
    <w:name w:val="Balloon Text"/>
    <w:basedOn w:val="Normal"/>
    <w:link w:val="BalloonTextChar"/>
    <w:uiPriority w:val="99"/>
    <w:semiHidden/>
    <w:unhideWhenUsed/>
    <w:rsid w:val="00B103A9"/>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3A9"/>
    <w:rPr>
      <w:rFonts w:ascii="Lucida Grande" w:eastAsia="Arial"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Foley</dc:creator>
  <cp:lastModifiedBy>tango168</cp:lastModifiedBy>
  <cp:revision>2</cp:revision>
  <dcterms:created xsi:type="dcterms:W3CDTF">2018-12-17T10:59:00Z</dcterms:created>
  <dcterms:modified xsi:type="dcterms:W3CDTF">2018-12-17T10:59:00Z</dcterms:modified>
</cp:coreProperties>
</file>