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73" w:rsidRDefault="008550A5" w:rsidP="008550A5">
      <w:pPr>
        <w:pStyle w:val="Heading1"/>
      </w:pPr>
      <w:bookmarkStart w:id="0" w:name="_GoBack"/>
      <w:bookmarkEnd w:id="0"/>
      <w:r>
        <w:t>Defining auditable measures and standards</w:t>
      </w:r>
    </w:p>
    <w:p w:rsidR="008550A5" w:rsidRDefault="008550A5" w:rsidP="008550A5">
      <w:pPr>
        <w:pStyle w:val="Heading2"/>
      </w:pPr>
      <w:r>
        <w:t>Background</w:t>
      </w:r>
    </w:p>
    <w:p w:rsidR="008550A5" w:rsidRDefault="008550A5">
      <w:r>
        <w:t>This brief note has been prepared by the BASHH National Audit Group to aid writers of guidelines in setting realistic and meaningful outcome measures.</w:t>
      </w:r>
    </w:p>
    <w:p w:rsidR="008550A5" w:rsidRDefault="008550A5" w:rsidP="008550A5">
      <w:pPr>
        <w:pStyle w:val="Heading2"/>
      </w:pPr>
      <w:r>
        <w:t>Format of an auditable measure</w:t>
      </w:r>
    </w:p>
    <w:p w:rsidR="008550A5" w:rsidRDefault="009221DB">
      <w:r>
        <w:t>Wording</w:t>
      </w:r>
      <w:r w:rsidR="008550A5">
        <w:t xml:space="preserve"> can vary, </w:t>
      </w:r>
      <w:r>
        <w:t xml:space="preserve">but </w:t>
      </w:r>
      <w:r w:rsidR="008550A5">
        <w:t xml:space="preserve">the </w:t>
      </w:r>
      <w:r w:rsidR="003F7EBA">
        <w:t>ideal format is</w:t>
      </w:r>
      <w:r w:rsidR="008550A5">
        <w:t>:</w:t>
      </w:r>
    </w:p>
    <w:p w:rsidR="008550A5" w:rsidRDefault="008550A5" w:rsidP="008550A5">
      <w:pPr>
        <w:ind w:left="720"/>
      </w:pPr>
      <w:r>
        <w:t>Among [</w:t>
      </w:r>
      <w:r w:rsidRPr="008550A5">
        <w:rPr>
          <w:i/>
        </w:rPr>
        <w:t>denominator:</w:t>
      </w:r>
      <w:r>
        <w:t xml:space="preserve"> people meeting specified criteria], the proportion who [</w:t>
      </w:r>
      <w:r w:rsidRPr="008550A5">
        <w:rPr>
          <w:i/>
        </w:rPr>
        <w:t>achieve outcome:</w:t>
      </w:r>
      <w:r>
        <w:t xml:space="preserve"> receive the desired intervention] ([</w:t>
      </w:r>
      <w:r w:rsidRPr="008550A5">
        <w:rPr>
          <w:i/>
        </w:rPr>
        <w:t>standard:</w:t>
      </w:r>
      <w:r>
        <w:t xml:space="preserve"> a percentage representing the target that services are expected to achieve)</w:t>
      </w:r>
      <w:r w:rsidR="003F7EBA">
        <w:t>]</w:t>
      </w:r>
      <w:r>
        <w:t>.</w:t>
      </w:r>
    </w:p>
    <w:p w:rsidR="008550A5" w:rsidRDefault="008550A5" w:rsidP="008550A5">
      <w:r>
        <w:t>Example:</w:t>
      </w:r>
    </w:p>
    <w:p w:rsidR="008550A5" w:rsidRDefault="008550A5" w:rsidP="008550A5">
      <w:pPr>
        <w:ind w:left="720"/>
      </w:pPr>
      <w:r>
        <w:t>Among new and re-booked attenders testing positive for chlamydia and/or gonorrhoea, the proportion who are tested for syphilis and HIV (97%).</w:t>
      </w:r>
    </w:p>
    <w:p w:rsidR="009221DB" w:rsidRDefault="009221DB" w:rsidP="009221DB">
      <w:pPr>
        <w:ind w:left="1440"/>
      </w:pPr>
      <w:r>
        <w:t>Denominator: new and re-booked attenders testing positive for chlamydia and/or gonorrhoea</w:t>
      </w:r>
    </w:p>
    <w:p w:rsidR="009221DB" w:rsidRDefault="009221DB" w:rsidP="009221DB">
      <w:pPr>
        <w:ind w:left="1440"/>
      </w:pPr>
      <w:r>
        <w:t>Outcome: tested for syphilis and HIV</w:t>
      </w:r>
    </w:p>
    <w:p w:rsidR="009221DB" w:rsidRDefault="009221DB" w:rsidP="009221DB">
      <w:pPr>
        <w:ind w:left="1440"/>
      </w:pPr>
      <w:r>
        <w:t>Standard: 97%.</w:t>
      </w:r>
    </w:p>
    <w:p w:rsidR="003F7EBA" w:rsidRDefault="009221DB" w:rsidP="003F7EBA">
      <w:r>
        <w:t>Using this format helps to check that the denominator, outcome and standard are each clearly defined.</w:t>
      </w:r>
      <w:r w:rsidR="003F7EBA" w:rsidRPr="003F7EBA">
        <w:t xml:space="preserve"> </w:t>
      </w:r>
    </w:p>
    <w:p w:rsidR="003F7EBA" w:rsidRDefault="003F7EBA" w:rsidP="003F7EBA">
      <w:r>
        <w:t xml:space="preserve">An alternative format may be used where the expected level of performance is close to 100%: </w:t>
      </w:r>
    </w:p>
    <w:p w:rsidR="009221DB" w:rsidRDefault="003F7EBA" w:rsidP="003F7EBA">
      <w:pPr>
        <w:ind w:left="720"/>
      </w:pPr>
      <w:r>
        <w:t>[</w:t>
      </w:r>
      <w:r w:rsidRPr="003F7EBA">
        <w:rPr>
          <w:i/>
        </w:rPr>
        <w:t>Denominator:</w:t>
      </w:r>
      <w:r>
        <w:t xml:space="preserve"> All individuals meeting specified criteria] should [</w:t>
      </w:r>
      <w:r w:rsidRPr="003F7EBA">
        <w:rPr>
          <w:i/>
        </w:rPr>
        <w:t>achieve outcome:</w:t>
      </w:r>
      <w:r>
        <w:t xml:space="preserve"> receive the desired intervention] (</w:t>
      </w:r>
      <w:r w:rsidRPr="003F7EBA">
        <w:t>standard:</w:t>
      </w:r>
      <w:r>
        <w:t xml:space="preserve"> 97%).</w:t>
      </w:r>
    </w:p>
    <w:p w:rsidR="003F7EBA" w:rsidRDefault="003F7EBA" w:rsidP="003F7EBA">
      <w:r>
        <w:t xml:space="preserve">Some partner notification standards differ slightly because the measure is a rate, </w:t>
      </w:r>
      <w:proofErr w:type="spellStart"/>
      <w:r>
        <w:t>ie</w:t>
      </w:r>
      <w:proofErr w:type="spellEnd"/>
      <w:r>
        <w:t xml:space="preserve"> number of partners per audited individual (</w:t>
      </w:r>
      <w:proofErr w:type="spellStart"/>
      <w:r>
        <w:t>ie</w:t>
      </w:r>
      <w:proofErr w:type="spellEnd"/>
      <w:r>
        <w:t xml:space="preserve"> index case), rather than a proportion of audited individuals.</w:t>
      </w:r>
    </w:p>
    <w:p w:rsidR="009221DB" w:rsidRDefault="009221DB" w:rsidP="009221DB">
      <w:pPr>
        <w:pStyle w:val="Heading2"/>
      </w:pPr>
      <w:r>
        <w:t>About the denominator</w:t>
      </w:r>
    </w:p>
    <w:p w:rsidR="009221DB" w:rsidRDefault="009221DB" w:rsidP="009221DB">
      <w:r>
        <w:t xml:space="preserve">The denominator specifies the group of individuals/patients who will be included in an audit. </w:t>
      </w:r>
      <w:r w:rsidR="003E7235">
        <w:t>Its definition needs to be clear and unambiguous. Ide</w:t>
      </w:r>
      <w:r w:rsidR="00C6377E">
        <w:t xml:space="preserve">ally, a data clerk </w:t>
      </w:r>
      <w:r w:rsidR="003E7235">
        <w:t xml:space="preserve">should be able to </w:t>
      </w:r>
      <w:r w:rsidR="00C6377E">
        <w:t xml:space="preserve">select the denominator group from the total patient cohort using </w:t>
      </w:r>
      <w:r w:rsidR="003E7235">
        <w:t>straightforward</w:t>
      </w:r>
      <w:r w:rsidR="00C6377E">
        <w:t xml:space="preserve"> categories such as gender</w:t>
      </w:r>
      <w:r w:rsidR="003E7235">
        <w:t>,</w:t>
      </w:r>
      <w:r w:rsidR="00C6377E">
        <w:t xml:space="preserve"> age</w:t>
      </w:r>
      <w:r w:rsidR="003E7235">
        <w:t xml:space="preserve"> group</w:t>
      </w:r>
      <w:r w:rsidR="00C6377E">
        <w:t>, and/or primary diagnosis</w:t>
      </w:r>
      <w:r w:rsidR="003E7235">
        <w:t xml:space="preserve">. </w:t>
      </w:r>
      <w:r w:rsidR="00682E68">
        <w:t>Sometimes</w:t>
      </w:r>
      <w:r w:rsidR="003E7235">
        <w:t xml:space="preserve"> </w:t>
      </w:r>
      <w:r w:rsidR="003B6503">
        <w:t>this may need refinement</w:t>
      </w:r>
      <w:r w:rsidR="00682E68">
        <w:t xml:space="preserve"> (see </w:t>
      </w:r>
      <w:r w:rsidR="00682E68" w:rsidRPr="003E7235">
        <w:rPr>
          <w:i/>
        </w:rPr>
        <w:t>Exclusions and exceptions</w:t>
      </w:r>
      <w:r w:rsidR="00682E68">
        <w:t xml:space="preserve"> below)</w:t>
      </w:r>
      <w:r w:rsidR="003B6503">
        <w:t xml:space="preserve">, but </w:t>
      </w:r>
      <w:r w:rsidR="00637D8F">
        <w:t xml:space="preserve">broadly speaking </w:t>
      </w:r>
      <w:r w:rsidR="003B6503">
        <w:t xml:space="preserve">it should not be necessary to </w:t>
      </w:r>
      <w:r w:rsidR="003B6503" w:rsidRPr="00637D8F">
        <w:t xml:space="preserve">read </w:t>
      </w:r>
      <w:r w:rsidR="00924DE2">
        <w:t xml:space="preserve">each </w:t>
      </w:r>
      <w:r w:rsidR="003B6503">
        <w:t>patient</w:t>
      </w:r>
      <w:r w:rsidR="00924DE2">
        <w:t>’s</w:t>
      </w:r>
      <w:r w:rsidR="003B6503">
        <w:t xml:space="preserve"> record to </w:t>
      </w:r>
      <w:r w:rsidR="00924DE2">
        <w:t>create the denominator sample for an audit</w:t>
      </w:r>
      <w:r w:rsidR="003B6503">
        <w:t>.</w:t>
      </w:r>
    </w:p>
    <w:p w:rsidR="009221DB" w:rsidRDefault="009221DB" w:rsidP="009221DB">
      <w:r>
        <w:t>Avoid</w:t>
      </w:r>
      <w:r w:rsidR="003E7235">
        <w:t xml:space="preserve"> terms such as “appropriate cases”, “relevant”, “suitable”, “if indicated” – these make denominators unworkable. </w:t>
      </w:r>
    </w:p>
    <w:p w:rsidR="00C6377E" w:rsidRDefault="00C6377E" w:rsidP="00C6377E">
      <w:pPr>
        <w:pStyle w:val="Heading2"/>
      </w:pPr>
      <w:r>
        <w:lastRenderedPageBreak/>
        <w:t>Standards</w:t>
      </w:r>
    </w:p>
    <w:p w:rsidR="00C6377E" w:rsidRDefault="00C6377E" w:rsidP="00C6377E">
      <w:r>
        <w:t>Standards (or targets) should be set at a level which is realistic and a</w:t>
      </w:r>
      <w:r w:rsidR="003E7235">
        <w:t>ttain</w:t>
      </w:r>
      <w:r>
        <w:t xml:space="preserve">able </w:t>
      </w:r>
      <w:r w:rsidR="00C02927">
        <w:t xml:space="preserve">by services of </w:t>
      </w:r>
      <w:r>
        <w:t xml:space="preserve">high quality. Do not set standards at 100% - this isn’t really measurable because however many cases are audited </w:t>
      </w:r>
      <w:r w:rsidR="003F7EBA">
        <w:t xml:space="preserve">it’s not possible to </w:t>
      </w:r>
      <w:r>
        <w:t xml:space="preserve">be sure of perfect performance. </w:t>
      </w:r>
      <w:r w:rsidR="003E7235">
        <w:t>There is no exact science for setting standards, but a</w:t>
      </w:r>
      <w:r>
        <w:t xml:space="preserve"> pragmatic approach is:</w:t>
      </w:r>
    </w:p>
    <w:p w:rsidR="00C6377E" w:rsidRDefault="00AE0280" w:rsidP="00140390">
      <w:pPr>
        <w:ind w:left="720"/>
      </w:pPr>
      <w:r>
        <w:t>F</w:t>
      </w:r>
      <w:r w:rsidRPr="00AE0280">
        <w:t xml:space="preserve">or clinic processes for which performance </w:t>
      </w:r>
      <w:r>
        <w:t xml:space="preserve">close to 100% </w:t>
      </w:r>
      <w:r w:rsidRPr="00AE0280">
        <w:t>is feasible</w:t>
      </w:r>
      <w:r>
        <w:t xml:space="preserve"> and expected</w:t>
      </w:r>
      <w:r w:rsidRPr="00AE0280">
        <w:t>,</w:t>
      </w:r>
      <w:r>
        <w:t xml:space="preserve"> set the standard at</w:t>
      </w:r>
      <w:r w:rsidRPr="00AE0280">
        <w:t xml:space="preserve"> 97%</w:t>
      </w:r>
      <w:r>
        <w:t>.</w:t>
      </w:r>
      <w:r w:rsidRPr="00AE0280">
        <w:t xml:space="preserve"> </w:t>
      </w:r>
      <w:r w:rsidR="00A24C8C">
        <w:t>In practice this means that</w:t>
      </w:r>
      <w:r w:rsidR="00140390">
        <w:t xml:space="preserve"> if a sample of 40 cases is audited, and one does not meet the outcome (</w:t>
      </w:r>
      <w:r>
        <w:t>eg</w:t>
      </w:r>
      <w:r w:rsidR="00140390">
        <w:t xml:space="preserve"> becau</w:t>
      </w:r>
      <w:r>
        <w:t>se of incomplete documentation) then the service still achieves the standard. However if two individuals out of 40 do not meet the outcome, the standard is not met.</w:t>
      </w:r>
    </w:p>
    <w:p w:rsidR="00C6377E" w:rsidRPr="00C6377E" w:rsidRDefault="00AE0280" w:rsidP="003E7235">
      <w:pPr>
        <w:ind w:left="720"/>
      </w:pPr>
      <w:r>
        <w:t xml:space="preserve">For outcomes requiring patient action </w:t>
      </w:r>
      <w:r w:rsidR="006019E1">
        <w:t>such as</w:t>
      </w:r>
      <w:r>
        <w:t xml:space="preserve"> re-attendance, </w:t>
      </w:r>
      <w:r w:rsidR="00C12AF0">
        <w:t>97% performance</w:t>
      </w:r>
      <w:r>
        <w:t xml:space="preserve"> is unrealistic</w:t>
      </w:r>
      <w:r w:rsidR="00C02927">
        <w:t xml:space="preserve"> and the standard should be lower, eg </w:t>
      </w:r>
      <w:r w:rsidR="00C02927" w:rsidRPr="00C02927">
        <w:t>around 65-80% depending on circumstances.</w:t>
      </w:r>
      <w:r w:rsidR="00C02927">
        <w:t xml:space="preserve"> </w:t>
      </w:r>
      <w:r w:rsidR="00C6377E">
        <w:t xml:space="preserve">If </w:t>
      </w:r>
      <w:r w:rsidR="00F93088">
        <w:t>an</w:t>
      </w:r>
      <w:r w:rsidR="00C02927">
        <w:t xml:space="preserve"> outcome</w:t>
      </w:r>
      <w:r w:rsidR="003E7235">
        <w:t xml:space="preserve"> has been audited</w:t>
      </w:r>
      <w:r w:rsidR="00C02927">
        <w:t xml:space="preserve"> previously</w:t>
      </w:r>
      <w:r w:rsidR="003E7235">
        <w:t xml:space="preserve">, consider setting the standard at the higher quartile of audited site-level performance, </w:t>
      </w:r>
      <w:proofErr w:type="spellStart"/>
      <w:r w:rsidR="003E7235">
        <w:t>ie</w:t>
      </w:r>
      <w:proofErr w:type="spellEnd"/>
      <w:r w:rsidR="003E7235">
        <w:t xml:space="preserve"> the level</w:t>
      </w:r>
      <w:r w:rsidR="00C02927">
        <w:t xml:space="preserve"> achieved by</w:t>
      </w:r>
      <w:r w:rsidR="003E7235">
        <w:t xml:space="preserve"> the top quarter of participating sites. This is clearly attainable in principle, but will represent improvement for the remaining three quarters.</w:t>
      </w:r>
      <w:r w:rsidR="00C02927">
        <w:t xml:space="preserve"> </w:t>
      </w:r>
    </w:p>
    <w:p w:rsidR="00C6377E" w:rsidRDefault="00C6377E" w:rsidP="00C6377E">
      <w:pPr>
        <w:pStyle w:val="Heading2"/>
      </w:pPr>
      <w:r>
        <w:t>Exclusions and exceptions</w:t>
      </w:r>
    </w:p>
    <w:p w:rsidR="00344120" w:rsidRDefault="00344120" w:rsidP="00140390">
      <w:r>
        <w:t xml:space="preserve">Some outcomes appear simple at first sight but raise difficulties in practice because it is unclear how to apply them to certain individuals. This possibility should be considered when defining </w:t>
      </w:r>
      <w:r w:rsidR="000874DB">
        <w:t xml:space="preserve">the measure, and allowed for </w:t>
      </w:r>
      <w:r w:rsidR="009162E4">
        <w:t>in the following ways</w:t>
      </w:r>
      <w:r>
        <w:t>:</w:t>
      </w:r>
    </w:p>
    <w:p w:rsidR="00140390" w:rsidRDefault="00344120" w:rsidP="000874DB">
      <w:pPr>
        <w:ind w:left="720"/>
      </w:pPr>
      <w:r>
        <w:t>Exclu</w:t>
      </w:r>
      <w:r w:rsidR="00E33570">
        <w:t>ding</w:t>
      </w:r>
      <w:r>
        <w:t xml:space="preserve"> from the </w:t>
      </w:r>
      <w:r w:rsidR="000874DB">
        <w:t xml:space="preserve">denominator, eg: “Among individuals </w:t>
      </w:r>
      <w:r w:rsidR="000874DB" w:rsidRPr="000874DB">
        <w:rPr>
          <w:i/>
        </w:rPr>
        <w:t>reporting vaginal</w:t>
      </w:r>
      <w:r w:rsidR="0035521B">
        <w:rPr>
          <w:i/>
        </w:rPr>
        <w:t xml:space="preserve"> </w:t>
      </w:r>
      <w:r w:rsidR="006A40D7">
        <w:rPr>
          <w:i/>
        </w:rPr>
        <w:t>sex</w:t>
      </w:r>
      <w:r w:rsidR="000874DB" w:rsidRPr="000874DB">
        <w:rPr>
          <w:i/>
        </w:rPr>
        <w:t xml:space="preserve"> capable of leading to pregnancy</w:t>
      </w:r>
      <w:r w:rsidR="000874DB">
        <w:t xml:space="preserve">, proportion for whom </w:t>
      </w:r>
      <w:r w:rsidR="001E21A1">
        <w:t xml:space="preserve">pregnancy planning and </w:t>
      </w:r>
      <w:r w:rsidR="000874DB">
        <w:t xml:space="preserve">contraception </w:t>
      </w:r>
      <w:r w:rsidR="001E21A1">
        <w:t>are</w:t>
      </w:r>
      <w:r w:rsidR="000874DB">
        <w:t xml:space="preserve"> discussed”. This makes it clear that, for example, post-menopausal </w:t>
      </w:r>
      <w:r w:rsidR="001E21A1">
        <w:t>or</w:t>
      </w:r>
      <w:r w:rsidR="000874DB">
        <w:t xml:space="preserve"> sterilised individuals and those not reporting penis in vagina sex should not be audited.</w:t>
      </w:r>
      <w:r w:rsidR="006A40D7">
        <w:t xml:space="preserve"> It should be noted that this type of exclusion may not be picked up </w:t>
      </w:r>
      <w:r w:rsidR="00924DE2">
        <w:t>when</w:t>
      </w:r>
      <w:r w:rsidR="0035521B">
        <w:t xml:space="preserve"> selecting the</w:t>
      </w:r>
      <w:r w:rsidR="006A40D7">
        <w:t xml:space="preserve"> audit denominator from the whole patient cohort. </w:t>
      </w:r>
      <w:r w:rsidR="00637D8F">
        <w:t>Also</w:t>
      </w:r>
      <w:r w:rsidR="00924DE2">
        <w:t>, an individual may be included in some audit outcomes but excluded from others. So the data</w:t>
      </w:r>
      <w:r w:rsidR="0035521B">
        <w:t xml:space="preserve"> collection tool/questionnaire </w:t>
      </w:r>
      <w:r w:rsidR="00924DE2">
        <w:t>should ask about relevant factors to enable exclusion to be applied during</w:t>
      </w:r>
      <w:r w:rsidR="0035521B">
        <w:t xml:space="preserve"> data analysis. </w:t>
      </w:r>
    </w:p>
    <w:p w:rsidR="000874DB" w:rsidRDefault="000874DB" w:rsidP="000874DB">
      <w:pPr>
        <w:ind w:left="720"/>
      </w:pPr>
      <w:r>
        <w:t>Modif</w:t>
      </w:r>
      <w:r w:rsidR="00E33570">
        <w:t xml:space="preserve">ying </w:t>
      </w:r>
      <w:r>
        <w:t xml:space="preserve">the outcome, eg: “Among individuals with gonorrhoea, proportion </w:t>
      </w:r>
      <w:r w:rsidR="006A40D7">
        <w:t xml:space="preserve">receiving </w:t>
      </w:r>
      <w:r>
        <w:t xml:space="preserve">first-line </w:t>
      </w:r>
      <w:r w:rsidR="006A40D7">
        <w:t>treatment</w:t>
      </w:r>
      <w:r>
        <w:t xml:space="preserve"> </w:t>
      </w:r>
      <w:r w:rsidRPr="000874DB">
        <w:rPr>
          <w:i/>
        </w:rPr>
        <w:t xml:space="preserve">or having documented reasons for </w:t>
      </w:r>
      <w:r>
        <w:rPr>
          <w:i/>
        </w:rPr>
        <w:t>not doing so</w:t>
      </w:r>
      <w:r>
        <w:t>”.</w:t>
      </w:r>
      <w:r w:rsidR="000E60C5">
        <w:t xml:space="preserve"> This allows for genuine exceptions and contra-indications. A common modification is to audit the proportion of individuals </w:t>
      </w:r>
      <w:r w:rsidR="000E60C5" w:rsidRPr="000E60C5">
        <w:rPr>
          <w:i/>
        </w:rPr>
        <w:t>offered</w:t>
      </w:r>
      <w:r w:rsidR="000E60C5">
        <w:t xml:space="preserve"> an intervention, rather than the proportion receiving it, to allow for </w:t>
      </w:r>
      <w:r w:rsidR="006A40D7">
        <w:t>patient</w:t>
      </w:r>
      <w:r w:rsidR="000E60C5">
        <w:t xml:space="preserve"> choice</w:t>
      </w:r>
      <w:r w:rsidR="006A40D7">
        <w:t>.</w:t>
      </w:r>
      <w:r w:rsidR="000E60C5">
        <w:t xml:space="preserve"> For some interventions it may be appropriate to measure both offer and uptake.</w:t>
      </w:r>
    </w:p>
    <w:p w:rsidR="000874DB" w:rsidRDefault="000874DB" w:rsidP="000874DB">
      <w:pPr>
        <w:ind w:left="720"/>
      </w:pPr>
      <w:r w:rsidRPr="00E33570">
        <w:t>Reducing the standard</w:t>
      </w:r>
      <w:r w:rsidR="00E33570" w:rsidRPr="00E33570">
        <w:t xml:space="preserve">: </w:t>
      </w:r>
      <w:r w:rsidR="00E33570">
        <w:t>This is less satisfactory but sometimes unavoidable, if exceptional cases are hard to define or predict.</w:t>
      </w:r>
    </w:p>
    <w:p w:rsidR="00140390" w:rsidRDefault="00A228BE" w:rsidP="00140390">
      <w:r>
        <w:t xml:space="preserve">Outcomes should be carefully worded to make it clear what approach </w:t>
      </w:r>
      <w:r w:rsidR="005F2B2E">
        <w:t>is being</w:t>
      </w:r>
      <w:r>
        <w:t xml:space="preserve"> used. </w:t>
      </w:r>
      <w:r w:rsidR="00140390">
        <w:t>For example:</w:t>
      </w:r>
    </w:p>
    <w:p w:rsidR="00140390" w:rsidRPr="00A228BE" w:rsidRDefault="00140390" w:rsidP="00140390">
      <w:pPr>
        <w:ind w:left="720"/>
        <w:rPr>
          <w:i/>
        </w:rPr>
      </w:pPr>
      <w:r w:rsidRPr="00A228BE">
        <w:rPr>
          <w:i/>
        </w:rPr>
        <w:t>Among people diagnosed with syphilis, the proportion tested for HIV (if not already known to be HIV positive).</w:t>
      </w:r>
    </w:p>
    <w:p w:rsidR="00A228BE" w:rsidRDefault="00140390" w:rsidP="00140390">
      <w:r>
        <w:lastRenderedPageBreak/>
        <w:t xml:space="preserve">Does this mean exclude people already known to be HIV positive from the denominator and don’t count them at all? Or does it mean include them in the denominator and count them as having achieved the outcome? </w:t>
      </w:r>
    </w:p>
    <w:p w:rsidR="00140390" w:rsidRDefault="00140390" w:rsidP="00140390">
      <w:r>
        <w:t>Consider instead:</w:t>
      </w:r>
    </w:p>
    <w:p w:rsidR="00140390" w:rsidRPr="00A228BE" w:rsidRDefault="00140390" w:rsidP="00140390">
      <w:pPr>
        <w:ind w:left="720"/>
        <w:rPr>
          <w:i/>
        </w:rPr>
      </w:pPr>
      <w:r w:rsidRPr="00A228BE">
        <w:rPr>
          <w:i/>
        </w:rPr>
        <w:t xml:space="preserve">Among people diagnosed with syphilis who are not already known to be HIV positive, the proportion who are tested for HIV. </w:t>
      </w:r>
    </w:p>
    <w:p w:rsidR="00140390" w:rsidRDefault="00140390" w:rsidP="00140390">
      <w:r>
        <w:t>This is unambiguous and means exclude from denominator.</w:t>
      </w:r>
      <w:r w:rsidR="00F57173">
        <w:t xml:space="preserve"> Or alternatively:</w:t>
      </w:r>
    </w:p>
    <w:p w:rsidR="00140390" w:rsidRPr="00A228BE" w:rsidRDefault="00140390" w:rsidP="00140390">
      <w:pPr>
        <w:ind w:left="720"/>
        <w:rPr>
          <w:i/>
        </w:rPr>
      </w:pPr>
      <w:r w:rsidRPr="00A228BE">
        <w:rPr>
          <w:i/>
        </w:rPr>
        <w:t>Among people diagnosed with syphilis, the proportion who are tested for HIV or are already known to be HIV positive.</w:t>
      </w:r>
    </w:p>
    <w:p w:rsidR="00140390" w:rsidRDefault="00140390" w:rsidP="00140390">
      <w:r>
        <w:t>This is unambiguous and means count as having achieved the</w:t>
      </w:r>
      <w:r w:rsidR="00965D6D">
        <w:t xml:space="preserve"> modified</w:t>
      </w:r>
      <w:r>
        <w:t xml:space="preserve"> outcome.</w:t>
      </w:r>
    </w:p>
    <w:p w:rsidR="007A58D3" w:rsidRDefault="007A58D3" w:rsidP="007A58D3">
      <w:pPr>
        <w:pStyle w:val="Heading2"/>
      </w:pPr>
      <w:r w:rsidRPr="00C20CB5">
        <w:t xml:space="preserve">Timing for follow-up or regular </w:t>
      </w:r>
      <w:r w:rsidR="00C20CB5">
        <w:t>intervention</w:t>
      </w:r>
      <w:r w:rsidRPr="00C20CB5">
        <w:t>s</w:t>
      </w:r>
    </w:p>
    <w:p w:rsidR="00140390" w:rsidRDefault="00C20CB5" w:rsidP="00C20CB5">
      <w:r>
        <w:t xml:space="preserve">When follow-up or repeat testing/screening or other intervention is recommended after a specified time, the auditable outcome should allow some leeway for varying appointment dates, holiday periods etc. For example, </w:t>
      </w:r>
      <w:r w:rsidR="00A24C8C">
        <w:t xml:space="preserve">for screening which is </w:t>
      </w:r>
      <w:r>
        <w:t xml:space="preserve">recommended annually, </w:t>
      </w:r>
      <w:r w:rsidR="00293068">
        <w:t xml:space="preserve">a </w:t>
      </w:r>
      <w:r>
        <w:t xml:space="preserve">suitable outcome would be the proportion of individuals screened within the past 15 months, or 18 months, but not within the past 12 months. </w:t>
      </w:r>
    </w:p>
    <w:p w:rsidR="00A24C8C" w:rsidRDefault="00A24C8C" w:rsidP="00C20CB5">
      <w:r>
        <w:t xml:space="preserve">Conversely, if an intervention is recommended </w:t>
      </w:r>
      <w:r w:rsidRPr="00A24C8C">
        <w:rPr>
          <w:i/>
        </w:rPr>
        <w:t>within</w:t>
      </w:r>
      <w:r>
        <w:t xml:space="preserve"> a specific time, then the same time should be specified in the auditable outcome.</w:t>
      </w:r>
    </w:p>
    <w:p w:rsidR="00F93088" w:rsidRDefault="00F93088" w:rsidP="00C20CB5"/>
    <w:p w:rsidR="00F93088" w:rsidRPr="00140390" w:rsidRDefault="00F93088" w:rsidP="00C20CB5">
      <w:r>
        <w:t>BASHH National Audit Group, 2019.</w:t>
      </w:r>
    </w:p>
    <w:sectPr w:rsidR="00F93088" w:rsidRPr="00140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A5"/>
    <w:rsid w:val="000874DB"/>
    <w:rsid w:val="000E60C5"/>
    <w:rsid w:val="00140390"/>
    <w:rsid w:val="001E21A1"/>
    <w:rsid w:val="00293068"/>
    <w:rsid w:val="00344120"/>
    <w:rsid w:val="0035521B"/>
    <w:rsid w:val="003B6503"/>
    <w:rsid w:val="003E7235"/>
    <w:rsid w:val="003F7EBA"/>
    <w:rsid w:val="00471112"/>
    <w:rsid w:val="004F3C1E"/>
    <w:rsid w:val="0052361A"/>
    <w:rsid w:val="00526473"/>
    <w:rsid w:val="005F2B2E"/>
    <w:rsid w:val="006019E1"/>
    <w:rsid w:val="00637D8F"/>
    <w:rsid w:val="00682E68"/>
    <w:rsid w:val="006A40D7"/>
    <w:rsid w:val="007A58D3"/>
    <w:rsid w:val="00822461"/>
    <w:rsid w:val="008550A5"/>
    <w:rsid w:val="009162E4"/>
    <w:rsid w:val="009221DB"/>
    <w:rsid w:val="00924DE2"/>
    <w:rsid w:val="00965D6D"/>
    <w:rsid w:val="00A228BE"/>
    <w:rsid w:val="00A24C8C"/>
    <w:rsid w:val="00A47CE4"/>
    <w:rsid w:val="00AE0280"/>
    <w:rsid w:val="00C02927"/>
    <w:rsid w:val="00C12AF0"/>
    <w:rsid w:val="00C20CB5"/>
    <w:rsid w:val="00C6377E"/>
    <w:rsid w:val="00E177D7"/>
    <w:rsid w:val="00E33570"/>
    <w:rsid w:val="00F57173"/>
    <w:rsid w:val="00F93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37868-A5EA-4691-A26B-E7CB56DF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0A5"/>
  </w:style>
  <w:style w:type="paragraph" w:styleId="Heading1">
    <w:name w:val="heading 1"/>
    <w:basedOn w:val="Normal"/>
    <w:next w:val="Normal"/>
    <w:link w:val="Heading1Char"/>
    <w:uiPriority w:val="9"/>
    <w:qFormat/>
    <w:rsid w:val="008550A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F7EBA"/>
    <w:pPr>
      <w:keepNext/>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550A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550A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550A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550A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550A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550A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550A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0A5"/>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8550A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F7E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550A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550A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550A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550A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550A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550A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550A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550A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550A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550A5"/>
    <w:rPr>
      <w:rFonts w:asciiTheme="majorHAnsi" w:eastAsiaTheme="majorEastAsia" w:hAnsiTheme="majorHAnsi" w:cstheme="majorBidi"/>
      <w:i/>
      <w:iCs/>
      <w:spacing w:val="13"/>
      <w:sz w:val="24"/>
      <w:szCs w:val="24"/>
    </w:rPr>
  </w:style>
  <w:style w:type="character" w:styleId="Strong">
    <w:name w:val="Strong"/>
    <w:uiPriority w:val="22"/>
    <w:qFormat/>
    <w:rsid w:val="008550A5"/>
    <w:rPr>
      <w:b/>
      <w:bCs/>
    </w:rPr>
  </w:style>
  <w:style w:type="character" w:styleId="Emphasis">
    <w:name w:val="Emphasis"/>
    <w:uiPriority w:val="20"/>
    <w:qFormat/>
    <w:rsid w:val="008550A5"/>
    <w:rPr>
      <w:b/>
      <w:bCs/>
      <w:i/>
      <w:iCs/>
      <w:spacing w:val="10"/>
      <w:bdr w:val="none" w:sz="0" w:space="0" w:color="auto"/>
      <w:shd w:val="clear" w:color="auto" w:fill="auto"/>
    </w:rPr>
  </w:style>
  <w:style w:type="paragraph" w:styleId="NoSpacing">
    <w:name w:val="No Spacing"/>
    <w:basedOn w:val="Normal"/>
    <w:uiPriority w:val="1"/>
    <w:qFormat/>
    <w:rsid w:val="008550A5"/>
    <w:pPr>
      <w:spacing w:after="0" w:line="240" w:lineRule="auto"/>
    </w:pPr>
  </w:style>
  <w:style w:type="paragraph" w:styleId="ListParagraph">
    <w:name w:val="List Paragraph"/>
    <w:basedOn w:val="Normal"/>
    <w:uiPriority w:val="34"/>
    <w:qFormat/>
    <w:rsid w:val="008550A5"/>
    <w:pPr>
      <w:ind w:left="720"/>
      <w:contextualSpacing/>
    </w:pPr>
  </w:style>
  <w:style w:type="paragraph" w:styleId="Quote">
    <w:name w:val="Quote"/>
    <w:basedOn w:val="Normal"/>
    <w:next w:val="Normal"/>
    <w:link w:val="QuoteChar"/>
    <w:uiPriority w:val="29"/>
    <w:qFormat/>
    <w:rsid w:val="008550A5"/>
    <w:pPr>
      <w:spacing w:before="200" w:after="0"/>
      <w:ind w:left="360" w:right="360"/>
    </w:pPr>
    <w:rPr>
      <w:i/>
      <w:iCs/>
    </w:rPr>
  </w:style>
  <w:style w:type="character" w:customStyle="1" w:styleId="QuoteChar">
    <w:name w:val="Quote Char"/>
    <w:basedOn w:val="DefaultParagraphFont"/>
    <w:link w:val="Quote"/>
    <w:uiPriority w:val="29"/>
    <w:rsid w:val="008550A5"/>
    <w:rPr>
      <w:i/>
      <w:iCs/>
    </w:rPr>
  </w:style>
  <w:style w:type="paragraph" w:styleId="IntenseQuote">
    <w:name w:val="Intense Quote"/>
    <w:basedOn w:val="Normal"/>
    <w:next w:val="Normal"/>
    <w:link w:val="IntenseQuoteChar"/>
    <w:uiPriority w:val="30"/>
    <w:qFormat/>
    <w:rsid w:val="008550A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550A5"/>
    <w:rPr>
      <w:b/>
      <w:bCs/>
      <w:i/>
      <w:iCs/>
    </w:rPr>
  </w:style>
  <w:style w:type="character" w:styleId="SubtleEmphasis">
    <w:name w:val="Subtle Emphasis"/>
    <w:uiPriority w:val="19"/>
    <w:qFormat/>
    <w:rsid w:val="008550A5"/>
    <w:rPr>
      <w:i/>
      <w:iCs/>
    </w:rPr>
  </w:style>
  <w:style w:type="character" w:styleId="IntenseEmphasis">
    <w:name w:val="Intense Emphasis"/>
    <w:uiPriority w:val="21"/>
    <w:qFormat/>
    <w:rsid w:val="008550A5"/>
    <w:rPr>
      <w:b/>
      <w:bCs/>
    </w:rPr>
  </w:style>
  <w:style w:type="character" w:styleId="SubtleReference">
    <w:name w:val="Subtle Reference"/>
    <w:uiPriority w:val="31"/>
    <w:qFormat/>
    <w:rsid w:val="008550A5"/>
    <w:rPr>
      <w:smallCaps/>
    </w:rPr>
  </w:style>
  <w:style w:type="character" w:styleId="IntenseReference">
    <w:name w:val="Intense Reference"/>
    <w:uiPriority w:val="32"/>
    <w:qFormat/>
    <w:rsid w:val="008550A5"/>
    <w:rPr>
      <w:smallCaps/>
      <w:spacing w:val="5"/>
      <w:u w:val="single"/>
    </w:rPr>
  </w:style>
  <w:style w:type="character" w:styleId="BookTitle">
    <w:name w:val="Book Title"/>
    <w:uiPriority w:val="33"/>
    <w:qFormat/>
    <w:rsid w:val="008550A5"/>
    <w:rPr>
      <w:i/>
      <w:iCs/>
      <w:smallCaps/>
      <w:spacing w:val="5"/>
    </w:rPr>
  </w:style>
  <w:style w:type="paragraph" w:styleId="TOCHeading">
    <w:name w:val="TOC Heading"/>
    <w:basedOn w:val="Heading1"/>
    <w:next w:val="Normal"/>
    <w:uiPriority w:val="39"/>
    <w:semiHidden/>
    <w:unhideWhenUsed/>
    <w:qFormat/>
    <w:rsid w:val="008550A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c:creator>
  <cp:lastModifiedBy>Sophie Brocklehurst</cp:lastModifiedBy>
  <cp:revision>2</cp:revision>
  <dcterms:created xsi:type="dcterms:W3CDTF">2020-03-04T15:16:00Z</dcterms:created>
  <dcterms:modified xsi:type="dcterms:W3CDTF">2020-03-04T15:16:00Z</dcterms:modified>
</cp:coreProperties>
</file>