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F0FD" w14:textId="4CB07D93" w:rsidR="00704152" w:rsidRDefault="00A25949" w:rsidP="00CA6BA7">
      <w:pPr>
        <w:rPr>
          <w:rFonts w:ascii="Barlow Medium" w:hAnsi="Barlow Medium"/>
          <w:b/>
          <w:bCs/>
          <w:color w:val="156082" w:themeColor="accent1"/>
          <w:sz w:val="28"/>
          <w:szCs w:val="28"/>
        </w:rPr>
      </w:pPr>
      <w:r>
        <w:rPr>
          <w:rFonts w:ascii="Barlow Medium" w:hAnsi="Barlow Medium"/>
          <w:b/>
          <w:bCs/>
          <w:color w:val="156082" w:themeColor="accent1"/>
          <w:sz w:val="28"/>
          <w:szCs w:val="28"/>
        </w:rPr>
        <w:t>26</w:t>
      </w:r>
      <w:r w:rsidRPr="00A25949">
        <w:rPr>
          <w:rFonts w:ascii="Barlow Medium" w:hAnsi="Barlow Medium"/>
          <w:b/>
          <w:bCs/>
          <w:color w:val="156082" w:themeColor="accent1"/>
          <w:sz w:val="28"/>
          <w:szCs w:val="28"/>
          <w:vertAlign w:val="superscript"/>
        </w:rPr>
        <w:t>th</w:t>
      </w:r>
      <w:r>
        <w:rPr>
          <w:rFonts w:ascii="Barlow Medium" w:hAnsi="Barlow Medium"/>
          <w:b/>
          <w:bCs/>
          <w:color w:val="156082" w:themeColor="accent1"/>
          <w:sz w:val="28"/>
          <w:szCs w:val="28"/>
        </w:rPr>
        <w:t xml:space="preserve"> September 2025</w:t>
      </w:r>
    </w:p>
    <w:p w14:paraId="0F8D754B" w14:textId="18311C2C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  <w:sz w:val="28"/>
          <w:szCs w:val="28"/>
        </w:rPr>
      </w:pPr>
      <w:r w:rsidRPr="004B28F2">
        <w:rPr>
          <w:rFonts w:ascii="Barlow Medium" w:hAnsi="Barlow Medium"/>
          <w:b/>
          <w:bCs/>
          <w:color w:val="156082" w:themeColor="accent1"/>
          <w:sz w:val="28"/>
          <w:szCs w:val="28"/>
        </w:rPr>
        <w:t>Honorarium Policy for BASHH events and training.</w:t>
      </w:r>
    </w:p>
    <w:p w14:paraId="4F00C6DA" w14:textId="28C0FFCF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1. Purpose</w:t>
      </w:r>
    </w:p>
    <w:p w14:paraId="716234A6" w14:textId="77777777" w:rsidR="007762C1" w:rsidRPr="00422D69" w:rsidRDefault="00CA6BA7" w:rsidP="007762C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This policy outlines the principles and procedures for offering honoraria to speakers participating in events organised by BASHH. </w:t>
      </w:r>
    </w:p>
    <w:p w14:paraId="784FCE87" w14:textId="2F980D9F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2. Principles</w:t>
      </w:r>
    </w:p>
    <w:p w14:paraId="1FFF6DA8" w14:textId="6312A6BD" w:rsidR="007762C1" w:rsidRPr="00422D69" w:rsidRDefault="007762C1" w:rsidP="007762C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>An honorarium is a discretionary</w:t>
      </w:r>
      <w:r w:rsidR="00A71B65">
        <w:rPr>
          <w:rFonts w:ascii="Barlow Medium" w:hAnsi="Barlow Medium"/>
        </w:rPr>
        <w:t xml:space="preserve"> </w:t>
      </w:r>
      <w:r w:rsidRPr="00422D69">
        <w:rPr>
          <w:rFonts w:ascii="Barlow Medium" w:hAnsi="Barlow Medium"/>
        </w:rPr>
        <w:t>payment made to an individual as a token of appreciation for voluntary services or contributions—such as speaking at a conference, seminar, or educational event—where no formal contract or employment relationship exists.</w:t>
      </w:r>
    </w:p>
    <w:p w14:paraId="3D1CF024" w14:textId="019D314A" w:rsidR="00A8392A" w:rsidRPr="00422D69" w:rsidRDefault="00A8392A" w:rsidP="007762C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>Honoraria are not intended as full compensation for time or expertise, but rather as a gesture of thanks.</w:t>
      </w:r>
    </w:p>
    <w:p w14:paraId="7A38FDBB" w14:textId="5A9404D7" w:rsidR="00CA6BA7" w:rsidRPr="00422D69" w:rsidRDefault="007762C1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>Honoraria</w:t>
      </w:r>
      <w:r w:rsidR="00CA6BA7" w:rsidRPr="00422D69">
        <w:rPr>
          <w:rFonts w:ascii="Barlow Medium" w:hAnsi="Barlow Medium"/>
        </w:rPr>
        <w:t xml:space="preserve"> must be fair, transparent, and consistent with professional standards and </w:t>
      </w:r>
      <w:r w:rsidR="00144E57">
        <w:rPr>
          <w:rFonts w:ascii="Barlow Medium" w:hAnsi="Barlow Medium"/>
        </w:rPr>
        <w:t xml:space="preserve">BASHH’s </w:t>
      </w:r>
      <w:r w:rsidR="00CA6BA7" w:rsidRPr="00422D69">
        <w:rPr>
          <w:rFonts w:ascii="Barlow Medium" w:hAnsi="Barlow Medium"/>
        </w:rPr>
        <w:t xml:space="preserve">organisational values.  </w:t>
      </w:r>
    </w:p>
    <w:p w14:paraId="776AD8E1" w14:textId="0BF7D59D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Payments should not create any actual or perceived conflicts of interest.  </w:t>
      </w:r>
    </w:p>
    <w:p w14:paraId="590F29F2" w14:textId="2B2104F9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Individuals must not be compelled to accept an honorarium and may decline if they choose.  </w:t>
      </w:r>
      <w:r w:rsidR="000D0281" w:rsidRPr="00422D69">
        <w:rPr>
          <w:rFonts w:ascii="Barlow Medium" w:hAnsi="Barlow Medium"/>
        </w:rPr>
        <w:t xml:space="preserve">If an individual prefers not to receive an honorarium, they are welcome to request that it be donated to a registered charity </w:t>
      </w:r>
      <w:r w:rsidR="00144E57">
        <w:rPr>
          <w:rFonts w:ascii="Barlow Medium" w:hAnsi="Barlow Medium"/>
        </w:rPr>
        <w:t xml:space="preserve">or departmental fund </w:t>
      </w:r>
      <w:r w:rsidR="000D0281" w:rsidRPr="00422D69">
        <w:rPr>
          <w:rFonts w:ascii="Barlow Medium" w:hAnsi="Barlow Medium"/>
        </w:rPr>
        <w:t xml:space="preserve">of </w:t>
      </w:r>
      <w:r w:rsidR="00144E57">
        <w:rPr>
          <w:rFonts w:ascii="Barlow Medium" w:hAnsi="Barlow Medium"/>
        </w:rPr>
        <w:t>their</w:t>
      </w:r>
      <w:r w:rsidR="000D0281" w:rsidRPr="00422D69">
        <w:rPr>
          <w:rFonts w:ascii="Barlow Medium" w:hAnsi="Barlow Medium"/>
        </w:rPr>
        <w:t xml:space="preserve"> choice.</w:t>
      </w:r>
    </w:p>
    <w:p w14:paraId="35C90CA5" w14:textId="660202A1" w:rsidR="00CA6BA7" w:rsidRPr="00422D69" w:rsidRDefault="007762C1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>BASHH</w:t>
      </w:r>
      <w:r w:rsidR="00CA6BA7" w:rsidRPr="00422D69">
        <w:rPr>
          <w:rFonts w:ascii="Barlow Medium" w:hAnsi="Barlow Medium"/>
        </w:rPr>
        <w:t xml:space="preserve"> reserves the right to determine the amount based on the nature of the event, the contribution, and budgetary considerations</w:t>
      </w:r>
      <w:r w:rsidR="008007BC">
        <w:rPr>
          <w:rFonts w:ascii="Barlow Medium" w:hAnsi="Barlow Medium"/>
        </w:rPr>
        <w:t>—s</w:t>
      </w:r>
      <w:r w:rsidR="00A8392A" w:rsidRPr="00422D69">
        <w:rPr>
          <w:rFonts w:ascii="Barlow Medium" w:hAnsi="Barlow Medium"/>
        </w:rPr>
        <w:t>ee</w:t>
      </w:r>
      <w:r w:rsidR="008007BC">
        <w:rPr>
          <w:rFonts w:ascii="Barlow Medium" w:hAnsi="Barlow Medium"/>
        </w:rPr>
        <w:t xml:space="preserve"> </w:t>
      </w:r>
      <w:r w:rsidR="00A8392A" w:rsidRPr="00422D69">
        <w:rPr>
          <w:rFonts w:ascii="Barlow Medium" w:hAnsi="Barlow Medium"/>
        </w:rPr>
        <w:t>Appendix</w:t>
      </w:r>
      <w:r w:rsidR="008007BC">
        <w:rPr>
          <w:rFonts w:ascii="Barlow Medium" w:hAnsi="Barlow Medium"/>
        </w:rPr>
        <w:t xml:space="preserve"> for more guideline am</w:t>
      </w:r>
      <w:r w:rsidR="005874A6">
        <w:rPr>
          <w:rFonts w:ascii="Barlow Medium" w:hAnsi="Barlow Medium"/>
        </w:rPr>
        <w:t>ounts</w:t>
      </w:r>
      <w:r w:rsidR="008007BC">
        <w:rPr>
          <w:rFonts w:ascii="Barlow Medium" w:hAnsi="Barlow Medium"/>
        </w:rPr>
        <w:t>.</w:t>
      </w:r>
    </w:p>
    <w:p w14:paraId="26FDCCFA" w14:textId="5F1F14CC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3. Eligibility</w:t>
      </w:r>
    </w:p>
    <w:p w14:paraId="71AD6C35" w14:textId="7172A7F9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Honoraria may be offered to non-BASHH speakers (e.g. guest lecturers, </w:t>
      </w:r>
      <w:r w:rsidR="007762C1" w:rsidRPr="00422D69">
        <w:rPr>
          <w:rFonts w:ascii="Barlow Medium" w:hAnsi="Barlow Medium"/>
        </w:rPr>
        <w:t>panellists</w:t>
      </w:r>
      <w:r w:rsidRPr="00422D69">
        <w:rPr>
          <w:rFonts w:ascii="Barlow Medium" w:hAnsi="Barlow Medium"/>
        </w:rPr>
        <w:t>, or workshop facilitators) who are not otherwise compensated for their participation through employment or consultancy.</w:t>
      </w:r>
    </w:p>
    <w:p w14:paraId="69A82738" w14:textId="4BEC54FE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 xml:space="preserve">4. Tax and Reporting </w:t>
      </w:r>
    </w:p>
    <w:p w14:paraId="72F581AE" w14:textId="77777777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Under UK tax law, honoraria are considered taxable income and must be reported to HMRC.  </w:t>
      </w:r>
    </w:p>
    <w:p w14:paraId="6B5F53B1" w14:textId="065F3656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It is the recipient’s responsibility to declare the honorarium </w:t>
      </w:r>
      <w:r w:rsidR="007762C1" w:rsidRPr="00422D69">
        <w:rPr>
          <w:rFonts w:ascii="Barlow Medium" w:hAnsi="Barlow Medium"/>
        </w:rPr>
        <w:t>for tax purposes</w:t>
      </w:r>
      <w:r w:rsidRPr="00422D69">
        <w:rPr>
          <w:rFonts w:ascii="Barlow Medium" w:hAnsi="Barlow Medium"/>
        </w:rPr>
        <w:t>.</w:t>
      </w:r>
    </w:p>
    <w:p w14:paraId="6EAAA033" w14:textId="23D5BE50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5. Implementation</w:t>
      </w:r>
    </w:p>
    <w:p w14:paraId="22D0A796" w14:textId="7BA0DB7A" w:rsidR="00CA6BA7" w:rsidRPr="00422D69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Requests for honoraria must be approved in advance by </w:t>
      </w:r>
      <w:r w:rsidR="00386104">
        <w:rPr>
          <w:rFonts w:ascii="Barlow Medium" w:hAnsi="Barlow Medium"/>
        </w:rPr>
        <w:t>the Education Committee or Conference Chair, depending on the event</w:t>
      </w:r>
      <w:r w:rsidRPr="00422D69">
        <w:rPr>
          <w:rFonts w:ascii="Barlow Medium" w:hAnsi="Barlow Medium"/>
        </w:rPr>
        <w:t xml:space="preserve">. A standard honorarium form must be completed, including recipient details, amount proposed, and justification. </w:t>
      </w:r>
    </w:p>
    <w:p w14:paraId="2A88EAF9" w14:textId="53BDC267" w:rsidR="00CA6BA7" w:rsidRPr="004B28F2" w:rsidRDefault="00CA6BA7" w:rsidP="00CA6BA7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6. Review</w:t>
      </w:r>
    </w:p>
    <w:p w14:paraId="61AB2028" w14:textId="77777777" w:rsidR="00CA6BA7" w:rsidRDefault="00CA6BA7" w:rsidP="00CA6BA7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>This policy will be reviewed every two years or as required by changes in legislation or organisational priorities.</w:t>
      </w:r>
    </w:p>
    <w:p w14:paraId="72F9B6BE" w14:textId="468E4CC1" w:rsidR="00386104" w:rsidRDefault="73746F72" w:rsidP="3B4E1B83">
      <w:pPr>
        <w:rPr>
          <w:rFonts w:ascii="Barlow Medium" w:hAnsi="Barlow Medium"/>
          <w:highlight w:val="yellow"/>
        </w:rPr>
      </w:pPr>
      <w:r w:rsidRPr="3B4E1B83">
        <w:rPr>
          <w:rFonts w:ascii="Barlow Medium" w:hAnsi="Barlow Medium"/>
        </w:rPr>
        <w:t xml:space="preserve">Date of policy: </w:t>
      </w:r>
      <w:r w:rsidR="1919B93E" w:rsidRPr="3B4E1B83">
        <w:rPr>
          <w:rFonts w:ascii="Barlow Medium" w:hAnsi="Barlow Medium"/>
        </w:rPr>
        <w:t>26</w:t>
      </w:r>
      <w:r w:rsidR="1919B93E" w:rsidRPr="3B4E1B83">
        <w:rPr>
          <w:rFonts w:ascii="Barlow Medium" w:hAnsi="Barlow Medium"/>
          <w:vertAlign w:val="superscript"/>
        </w:rPr>
        <w:t>th</w:t>
      </w:r>
      <w:r w:rsidR="1919B93E" w:rsidRPr="3B4E1B83">
        <w:rPr>
          <w:rFonts w:ascii="Barlow Medium" w:hAnsi="Barlow Medium"/>
        </w:rPr>
        <w:t xml:space="preserve"> Sept 2025</w:t>
      </w:r>
    </w:p>
    <w:p w14:paraId="7AC5E4AA" w14:textId="64857B4A" w:rsidR="1919B93E" w:rsidRDefault="1919B93E" w:rsidP="3B4E1B83">
      <w:r w:rsidRPr="3B4E1B83">
        <w:rPr>
          <w:rFonts w:ascii="Barlow Medium" w:hAnsi="Barlow Medium"/>
        </w:rPr>
        <w:t>Review: Annually</w:t>
      </w:r>
    </w:p>
    <w:p w14:paraId="32846601" w14:textId="647FAD62" w:rsidR="007762C1" w:rsidRPr="00422D69" w:rsidRDefault="007762C1" w:rsidP="007762C1">
      <w:pPr>
        <w:rPr>
          <w:rFonts w:ascii="Barlow Medium" w:hAnsi="Barlow Medium"/>
        </w:rPr>
      </w:pPr>
    </w:p>
    <w:p w14:paraId="50765C25" w14:textId="77777777" w:rsidR="004B28F2" w:rsidRDefault="004B28F2" w:rsidP="007762C1">
      <w:pPr>
        <w:rPr>
          <w:rFonts w:ascii="Barlow Medium" w:hAnsi="Barlow Medium"/>
        </w:rPr>
      </w:pPr>
    </w:p>
    <w:p w14:paraId="60C66FFF" w14:textId="77777777" w:rsidR="004B28F2" w:rsidRDefault="004B28F2" w:rsidP="007762C1">
      <w:pPr>
        <w:rPr>
          <w:rFonts w:ascii="Barlow Medium" w:hAnsi="Barlow Medium"/>
        </w:rPr>
      </w:pPr>
    </w:p>
    <w:p w14:paraId="4877DA35" w14:textId="67B9DFAA" w:rsidR="00A8392A" w:rsidRPr="004B28F2" w:rsidRDefault="00A8392A" w:rsidP="007762C1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Appendix</w:t>
      </w:r>
    </w:p>
    <w:p w14:paraId="5F51FB19" w14:textId="7A6F4B6E" w:rsidR="007762C1" w:rsidRPr="004B28F2" w:rsidRDefault="007762C1" w:rsidP="007762C1">
      <w:pPr>
        <w:rPr>
          <w:rFonts w:ascii="Barlow Medium" w:hAnsi="Barlow Medium"/>
          <w:b/>
          <w:bCs/>
          <w:color w:val="156082" w:themeColor="accent1"/>
        </w:rPr>
      </w:pPr>
      <w:r w:rsidRPr="004B28F2">
        <w:rPr>
          <w:rFonts w:ascii="Barlow Medium" w:hAnsi="Barlow Medium"/>
          <w:b/>
          <w:bCs/>
          <w:color w:val="156082" w:themeColor="accent1"/>
        </w:rPr>
        <w:t>Suggested Honorarium Amounts</w:t>
      </w:r>
    </w:p>
    <w:p w14:paraId="4F236844" w14:textId="1A3CE62F" w:rsidR="0093281A" w:rsidRPr="00422D69" w:rsidRDefault="0093281A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  <w:b/>
          <w:bCs/>
        </w:rPr>
        <w:t>In</w:t>
      </w:r>
      <w:r w:rsidR="00AC7071" w:rsidRPr="00422D69">
        <w:rPr>
          <w:rFonts w:ascii="Barlow Medium" w:hAnsi="Barlow Medium"/>
          <w:b/>
          <w:bCs/>
        </w:rPr>
        <w:t>-person events</w:t>
      </w:r>
      <w:r w:rsidR="000D0281" w:rsidRPr="00422D69">
        <w:rPr>
          <w:rFonts w:ascii="Barlow Medium" w:hAnsi="Barlow Medium"/>
        </w:rPr>
        <w:t xml:space="preserve">:   </w:t>
      </w:r>
      <w:r w:rsidR="00900CAA">
        <w:rPr>
          <w:rFonts w:ascii="Barlow Medium" w:hAnsi="Barlow Medium"/>
        </w:rPr>
        <w:t>External s</w:t>
      </w:r>
      <w:r w:rsidR="00AC7071" w:rsidRPr="00422D69">
        <w:rPr>
          <w:rFonts w:ascii="Barlow Medium" w:hAnsi="Barlow Medium"/>
        </w:rPr>
        <w:t xml:space="preserve">peakers </w:t>
      </w:r>
      <w:r w:rsidRPr="00422D69">
        <w:rPr>
          <w:rFonts w:ascii="Barlow Medium" w:hAnsi="Barlow Medium"/>
        </w:rPr>
        <w:t xml:space="preserve">and workshop facilitators </w:t>
      </w:r>
      <w:r w:rsidR="00AC7071" w:rsidRPr="00422D69">
        <w:rPr>
          <w:rFonts w:ascii="Barlow Medium" w:hAnsi="Barlow Medium"/>
        </w:rPr>
        <w:t xml:space="preserve">may be paid an honoraria of </w:t>
      </w:r>
      <w:r w:rsidR="00CB7236">
        <w:rPr>
          <w:rFonts w:ascii="Barlow Medium" w:hAnsi="Barlow Medium"/>
        </w:rPr>
        <w:t xml:space="preserve">up to </w:t>
      </w:r>
      <w:r w:rsidR="00AC7071" w:rsidRPr="00422D69">
        <w:rPr>
          <w:rFonts w:ascii="Barlow Medium" w:hAnsi="Barlow Medium"/>
        </w:rPr>
        <w:t>£250. An increase to £300 may be agreed where the speaker’s expertise or reputation</w:t>
      </w:r>
      <w:r w:rsidRPr="00422D69">
        <w:rPr>
          <w:rFonts w:ascii="Barlow Medium" w:hAnsi="Barlow Medium"/>
        </w:rPr>
        <w:t>,</w:t>
      </w:r>
      <w:r w:rsidR="00AC7071" w:rsidRPr="00422D69">
        <w:rPr>
          <w:rFonts w:ascii="Barlow Medium" w:hAnsi="Barlow Medium"/>
        </w:rPr>
        <w:t xml:space="preserve"> or the time and effort required</w:t>
      </w:r>
      <w:r w:rsidRPr="00422D69">
        <w:rPr>
          <w:rFonts w:ascii="Barlow Medium" w:hAnsi="Barlow Medium"/>
        </w:rPr>
        <w:t>,</w:t>
      </w:r>
      <w:r w:rsidR="00AC7071" w:rsidRPr="00422D69">
        <w:rPr>
          <w:rFonts w:ascii="Barlow Medium" w:hAnsi="Barlow Medium"/>
        </w:rPr>
        <w:t xml:space="preserve"> </w:t>
      </w:r>
      <w:r w:rsidRPr="00422D69">
        <w:rPr>
          <w:rFonts w:ascii="Barlow Medium" w:hAnsi="Barlow Medium"/>
        </w:rPr>
        <w:t>warrant a higher level of recognition and thanks.</w:t>
      </w:r>
    </w:p>
    <w:p w14:paraId="3BB679FF" w14:textId="522F9696" w:rsidR="0093281A" w:rsidRPr="00422D69" w:rsidRDefault="0093281A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Panel participants may be paid an honorarium of </w:t>
      </w:r>
      <w:r w:rsidR="00CB7236">
        <w:rPr>
          <w:rFonts w:ascii="Barlow Medium" w:hAnsi="Barlow Medium"/>
        </w:rPr>
        <w:t xml:space="preserve">up to </w:t>
      </w:r>
      <w:r w:rsidRPr="00422D69">
        <w:rPr>
          <w:rFonts w:ascii="Barlow Medium" w:hAnsi="Barlow Medium"/>
        </w:rPr>
        <w:t>£150</w:t>
      </w:r>
    </w:p>
    <w:p w14:paraId="199F3D66" w14:textId="72DC872F" w:rsidR="000D0281" w:rsidRPr="00422D69" w:rsidRDefault="0093281A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Honoraria in excess of £300 would not normally be agreed and </w:t>
      </w:r>
      <w:r w:rsidR="000F4211">
        <w:rPr>
          <w:rFonts w:ascii="Barlow Medium" w:hAnsi="Barlow Medium"/>
        </w:rPr>
        <w:t>are</w:t>
      </w:r>
      <w:r w:rsidRPr="00422D69">
        <w:rPr>
          <w:rFonts w:ascii="Barlow Medium" w:hAnsi="Barlow Medium"/>
        </w:rPr>
        <w:t xml:space="preserve"> subject to </w:t>
      </w:r>
      <w:r w:rsidR="00D265FE">
        <w:rPr>
          <w:rFonts w:ascii="Barlow Medium" w:hAnsi="Barlow Medium"/>
        </w:rPr>
        <w:t>CEO/Education Committee</w:t>
      </w:r>
      <w:r w:rsidRPr="00422D69">
        <w:rPr>
          <w:rFonts w:ascii="Barlow Medium" w:hAnsi="Barlow Medium"/>
        </w:rPr>
        <w:t xml:space="preserve"> approval. If a speaker wishes to charge a fee, this </w:t>
      </w:r>
      <w:r w:rsidR="008369B5">
        <w:rPr>
          <w:rFonts w:ascii="Barlow Medium" w:hAnsi="Barlow Medium"/>
        </w:rPr>
        <w:t>should</w:t>
      </w:r>
      <w:r w:rsidRPr="00422D69">
        <w:rPr>
          <w:rFonts w:ascii="Barlow Medium" w:hAnsi="Barlow Medium"/>
        </w:rPr>
        <w:t xml:space="preserve"> be negotiated as a contract and not as an honorarium.</w:t>
      </w:r>
      <w:r w:rsidR="00AC7071" w:rsidRPr="00422D69">
        <w:rPr>
          <w:rFonts w:ascii="Barlow Medium" w:hAnsi="Barlow Medium"/>
        </w:rPr>
        <w:t xml:space="preserve"> </w:t>
      </w:r>
    </w:p>
    <w:p w14:paraId="2B554BA8" w14:textId="2E9A49E4" w:rsidR="0093281A" w:rsidRPr="00422D69" w:rsidRDefault="0093281A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  <w:b/>
          <w:bCs/>
        </w:rPr>
        <w:t xml:space="preserve">On-line events: </w:t>
      </w:r>
      <w:r w:rsidR="005A4CAC" w:rsidRPr="005A4CAC">
        <w:rPr>
          <w:rFonts w:ascii="Barlow Medium" w:hAnsi="Barlow Medium"/>
        </w:rPr>
        <w:t>External</w:t>
      </w:r>
      <w:r w:rsidR="005A4CAC">
        <w:rPr>
          <w:rFonts w:ascii="Barlow Medium" w:hAnsi="Barlow Medium"/>
          <w:b/>
          <w:bCs/>
        </w:rPr>
        <w:t xml:space="preserve"> </w:t>
      </w:r>
      <w:r w:rsidRPr="00422D69">
        <w:rPr>
          <w:rFonts w:ascii="Barlow Medium" w:hAnsi="Barlow Medium"/>
        </w:rPr>
        <w:t>Speakers may be paid an honorari</w:t>
      </w:r>
      <w:r w:rsidR="00D7693F">
        <w:rPr>
          <w:rFonts w:ascii="Barlow Medium" w:hAnsi="Barlow Medium"/>
        </w:rPr>
        <w:t>um</w:t>
      </w:r>
      <w:r w:rsidRPr="00422D69">
        <w:rPr>
          <w:rFonts w:ascii="Barlow Medium" w:hAnsi="Barlow Medium"/>
        </w:rPr>
        <w:t xml:space="preserve"> of </w:t>
      </w:r>
      <w:r w:rsidR="00CB7236">
        <w:rPr>
          <w:rFonts w:ascii="Barlow Medium" w:hAnsi="Barlow Medium"/>
        </w:rPr>
        <w:t xml:space="preserve">up to </w:t>
      </w:r>
      <w:r w:rsidRPr="00422D69">
        <w:rPr>
          <w:rFonts w:ascii="Barlow Medium" w:hAnsi="Barlow Medium"/>
        </w:rPr>
        <w:t>£200. Panel participants may be paid an honorari</w:t>
      </w:r>
      <w:r w:rsidR="00D7693F">
        <w:rPr>
          <w:rFonts w:ascii="Barlow Medium" w:hAnsi="Barlow Medium"/>
        </w:rPr>
        <w:t>um</w:t>
      </w:r>
      <w:r w:rsidRPr="00422D69">
        <w:rPr>
          <w:rFonts w:ascii="Barlow Medium" w:hAnsi="Barlow Medium"/>
        </w:rPr>
        <w:t xml:space="preserve"> of </w:t>
      </w:r>
      <w:r w:rsidR="00CB7236">
        <w:rPr>
          <w:rFonts w:ascii="Barlow Medium" w:hAnsi="Barlow Medium"/>
        </w:rPr>
        <w:t xml:space="preserve">up to </w:t>
      </w:r>
      <w:r w:rsidRPr="00422D69">
        <w:rPr>
          <w:rFonts w:ascii="Barlow Medium" w:hAnsi="Barlow Medium"/>
        </w:rPr>
        <w:t>£100</w:t>
      </w:r>
      <w:r w:rsidR="002A3B67">
        <w:rPr>
          <w:rFonts w:ascii="Barlow Medium" w:hAnsi="Barlow Medium"/>
        </w:rPr>
        <w:t>. Discretionary honoraria for external speakers at bitesize events will be considered on an individual case basis.</w:t>
      </w:r>
    </w:p>
    <w:p w14:paraId="4F7E24A7" w14:textId="53357CF4" w:rsidR="000D0281" w:rsidRPr="00422D69" w:rsidRDefault="000D0281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  <w:b/>
          <w:bCs/>
        </w:rPr>
        <w:t>BASHH Theory course</w:t>
      </w:r>
      <w:r w:rsidRPr="00422D69">
        <w:rPr>
          <w:rFonts w:ascii="Barlow Medium" w:hAnsi="Barlow Medium"/>
        </w:rPr>
        <w:t xml:space="preserve">:  Lecturers </w:t>
      </w:r>
      <w:r w:rsidR="0093281A" w:rsidRPr="00422D69">
        <w:rPr>
          <w:rFonts w:ascii="Barlow Medium" w:hAnsi="Barlow Medium"/>
        </w:rPr>
        <w:t xml:space="preserve">may be </w:t>
      </w:r>
      <w:r w:rsidRPr="00422D69">
        <w:rPr>
          <w:rFonts w:ascii="Barlow Medium" w:hAnsi="Barlow Medium"/>
        </w:rPr>
        <w:t xml:space="preserve">paid £100 honorarium per lecture.  Organisers </w:t>
      </w:r>
      <w:r w:rsidR="0093281A" w:rsidRPr="00422D69">
        <w:rPr>
          <w:rFonts w:ascii="Barlow Medium" w:hAnsi="Barlow Medium"/>
        </w:rPr>
        <w:t xml:space="preserve">may be </w:t>
      </w:r>
      <w:r w:rsidRPr="00422D69">
        <w:rPr>
          <w:rFonts w:ascii="Barlow Medium" w:hAnsi="Barlow Medium"/>
        </w:rPr>
        <w:t xml:space="preserve">paid £100 daily </w:t>
      </w:r>
      <w:r w:rsidR="0093281A" w:rsidRPr="00422D69">
        <w:rPr>
          <w:rFonts w:ascii="Barlow Medium" w:hAnsi="Barlow Medium"/>
        </w:rPr>
        <w:t>honorarium</w:t>
      </w:r>
      <w:r w:rsidRPr="00422D69">
        <w:rPr>
          <w:rFonts w:ascii="Barlow Medium" w:hAnsi="Barlow Medium"/>
        </w:rPr>
        <w:t>.</w:t>
      </w:r>
    </w:p>
    <w:p w14:paraId="1EC0DD6F" w14:textId="1F101DD4" w:rsidR="000D0281" w:rsidRDefault="000D0281" w:rsidP="000D0281">
      <w:pPr>
        <w:rPr>
          <w:rFonts w:ascii="Barlow Medium" w:hAnsi="Barlow Medium"/>
        </w:rPr>
      </w:pPr>
      <w:r w:rsidRPr="00422D69">
        <w:rPr>
          <w:rFonts w:ascii="Barlow Medium" w:hAnsi="Barlow Medium"/>
          <w:b/>
          <w:bCs/>
        </w:rPr>
        <w:t>STI Foundation Train the Trainer</w:t>
      </w:r>
      <w:r w:rsidR="00460564">
        <w:rPr>
          <w:rFonts w:ascii="Barlow Medium" w:hAnsi="Barlow Medium"/>
          <w:b/>
          <w:bCs/>
        </w:rPr>
        <w:t xml:space="preserve"> courses</w:t>
      </w:r>
      <w:r w:rsidRPr="00422D69">
        <w:rPr>
          <w:rFonts w:ascii="Barlow Medium" w:hAnsi="Barlow Medium"/>
          <w:b/>
          <w:bCs/>
        </w:rPr>
        <w:t xml:space="preserve">: </w:t>
      </w:r>
      <w:r w:rsidRPr="00422D69">
        <w:rPr>
          <w:rFonts w:ascii="Barlow Medium" w:hAnsi="Barlow Medium"/>
        </w:rPr>
        <w:t>Presenters</w:t>
      </w:r>
      <w:r w:rsidR="0093281A" w:rsidRPr="00422D69">
        <w:rPr>
          <w:rFonts w:ascii="Barlow Medium" w:hAnsi="Barlow Medium"/>
        </w:rPr>
        <w:t xml:space="preserve"> may be</w:t>
      </w:r>
      <w:r w:rsidRPr="00422D69">
        <w:rPr>
          <w:rFonts w:ascii="Barlow Medium" w:hAnsi="Barlow Medium"/>
        </w:rPr>
        <w:t xml:space="preserve"> paid £100 honorarium.</w:t>
      </w:r>
    </w:p>
    <w:p w14:paraId="1B6205EE" w14:textId="0AA9B0F6" w:rsidR="007762C1" w:rsidRPr="00422D69" w:rsidRDefault="007762C1" w:rsidP="007762C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Note: These amounts are inclusive of preparation time. </w:t>
      </w:r>
      <w:r w:rsidR="000D0281" w:rsidRPr="00422D69">
        <w:rPr>
          <w:rFonts w:ascii="Barlow Medium" w:hAnsi="Barlow Medium"/>
        </w:rPr>
        <w:t>Other</w:t>
      </w:r>
      <w:r w:rsidRPr="00422D69">
        <w:rPr>
          <w:rFonts w:ascii="Barlow Medium" w:hAnsi="Barlow Medium"/>
        </w:rPr>
        <w:t xml:space="preserve"> expenses may be reimbursed separately, subject to the </w:t>
      </w:r>
      <w:r w:rsidR="000D0281" w:rsidRPr="00422D69">
        <w:rPr>
          <w:rFonts w:ascii="Barlow Medium" w:hAnsi="Barlow Medium"/>
        </w:rPr>
        <w:t>BASHH’s</w:t>
      </w:r>
      <w:r w:rsidRPr="00422D69">
        <w:rPr>
          <w:rFonts w:ascii="Barlow Medium" w:hAnsi="Barlow Medium"/>
        </w:rPr>
        <w:t xml:space="preserve"> </w:t>
      </w:r>
      <w:r w:rsidR="000D0281" w:rsidRPr="00422D69">
        <w:rPr>
          <w:rFonts w:ascii="Barlow Medium" w:hAnsi="Barlow Medium"/>
        </w:rPr>
        <w:t>expenses</w:t>
      </w:r>
      <w:r w:rsidRPr="00422D69">
        <w:rPr>
          <w:rFonts w:ascii="Barlow Medium" w:hAnsi="Barlow Medium"/>
        </w:rPr>
        <w:t xml:space="preserve"> policy.</w:t>
      </w:r>
    </w:p>
    <w:p w14:paraId="574DFF44" w14:textId="21A62383" w:rsidR="007762C1" w:rsidRPr="00422D69" w:rsidRDefault="007762C1" w:rsidP="007762C1">
      <w:pPr>
        <w:rPr>
          <w:rFonts w:ascii="Barlow Medium" w:hAnsi="Barlow Medium"/>
        </w:rPr>
      </w:pPr>
      <w:r w:rsidRPr="00422D69">
        <w:rPr>
          <w:rFonts w:ascii="Barlow Medium" w:hAnsi="Barlow Medium"/>
        </w:rPr>
        <w:t xml:space="preserve">For further information or to </w:t>
      </w:r>
      <w:r w:rsidR="00386104">
        <w:rPr>
          <w:rFonts w:ascii="Barlow Medium" w:hAnsi="Barlow Medium"/>
        </w:rPr>
        <w:t>discuss</w:t>
      </w:r>
      <w:r w:rsidRPr="00422D69">
        <w:rPr>
          <w:rFonts w:ascii="Barlow Medium" w:hAnsi="Barlow Medium"/>
        </w:rPr>
        <w:t xml:space="preserve"> your honorarium arrangements, please contact</w:t>
      </w:r>
      <w:r w:rsidR="00386104">
        <w:rPr>
          <w:rFonts w:ascii="Barlow Medium" w:hAnsi="Barlow Medium"/>
        </w:rPr>
        <w:t xml:space="preserve"> the Head of Education and Development.</w:t>
      </w:r>
    </w:p>
    <w:sectPr w:rsidR="007762C1" w:rsidRPr="00422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82A"/>
    <w:multiLevelType w:val="multilevel"/>
    <w:tmpl w:val="1BC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53C9B"/>
    <w:multiLevelType w:val="multilevel"/>
    <w:tmpl w:val="776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85484">
    <w:abstractNumId w:val="1"/>
  </w:num>
  <w:num w:numId="2" w16cid:durableId="15428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A7"/>
    <w:rsid w:val="00017C23"/>
    <w:rsid w:val="000D0281"/>
    <w:rsid w:val="000F4211"/>
    <w:rsid w:val="00144E57"/>
    <w:rsid w:val="00210E8B"/>
    <w:rsid w:val="00237E14"/>
    <w:rsid w:val="002A3B67"/>
    <w:rsid w:val="00315FC2"/>
    <w:rsid w:val="00360C04"/>
    <w:rsid w:val="00386104"/>
    <w:rsid w:val="00422D69"/>
    <w:rsid w:val="00460564"/>
    <w:rsid w:val="00476D8B"/>
    <w:rsid w:val="004B28F2"/>
    <w:rsid w:val="004E53B7"/>
    <w:rsid w:val="005874A6"/>
    <w:rsid w:val="005A4CAC"/>
    <w:rsid w:val="00607EC1"/>
    <w:rsid w:val="00656A97"/>
    <w:rsid w:val="00660B8A"/>
    <w:rsid w:val="00704152"/>
    <w:rsid w:val="007762C1"/>
    <w:rsid w:val="007D526D"/>
    <w:rsid w:val="008007BC"/>
    <w:rsid w:val="008369B5"/>
    <w:rsid w:val="00873869"/>
    <w:rsid w:val="008973A8"/>
    <w:rsid w:val="00900CAA"/>
    <w:rsid w:val="00901242"/>
    <w:rsid w:val="0093281A"/>
    <w:rsid w:val="009C5FC5"/>
    <w:rsid w:val="00A24409"/>
    <w:rsid w:val="00A25949"/>
    <w:rsid w:val="00A71B65"/>
    <w:rsid w:val="00A8392A"/>
    <w:rsid w:val="00AC7071"/>
    <w:rsid w:val="00C30506"/>
    <w:rsid w:val="00CA6BA7"/>
    <w:rsid w:val="00CB7236"/>
    <w:rsid w:val="00D265FE"/>
    <w:rsid w:val="00D7693F"/>
    <w:rsid w:val="00DE2B07"/>
    <w:rsid w:val="00E5786D"/>
    <w:rsid w:val="00E84043"/>
    <w:rsid w:val="00E91C82"/>
    <w:rsid w:val="00EB1F1F"/>
    <w:rsid w:val="00EF6850"/>
    <w:rsid w:val="00F1083B"/>
    <w:rsid w:val="00F50677"/>
    <w:rsid w:val="00F648CA"/>
    <w:rsid w:val="00FF6498"/>
    <w:rsid w:val="1919B93E"/>
    <w:rsid w:val="3B4E1B83"/>
    <w:rsid w:val="737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5028"/>
  <w15:chartTrackingRefBased/>
  <w15:docId w15:val="{5E38DAB8-F17A-44CC-BE6B-759E93A8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B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8015b-8f95-4599-8043-5fe6ee03cde8" xsi:nil="true"/>
    <lcf76f155ced4ddcb4097134ff3c332f xmlns="3f0e2545-97e0-4920-a59d-8a4f25fc6e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7380F155FE64996545B568B24618E" ma:contentTypeVersion="11" ma:contentTypeDescription="Create a new document." ma:contentTypeScope="" ma:versionID="3a4dcc033f4d35c4dd9d70d28c46d04e">
  <xsd:schema xmlns:xsd="http://www.w3.org/2001/XMLSchema" xmlns:xs="http://www.w3.org/2001/XMLSchema" xmlns:p="http://schemas.microsoft.com/office/2006/metadata/properties" xmlns:ns2="3f0e2545-97e0-4920-a59d-8a4f25fc6e91" xmlns:ns3="fb78015b-8f95-4599-8043-5fe6ee03cde8" targetNamespace="http://schemas.microsoft.com/office/2006/metadata/properties" ma:root="true" ma:fieldsID="1ea30408fb5d3ee3db0bbf35cb5002c9" ns2:_="" ns3:_="">
    <xsd:import namespace="3f0e2545-97e0-4920-a59d-8a4f25fc6e91"/>
    <xsd:import namespace="fb78015b-8f95-4599-8043-5fe6ee03c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2545-97e0-4920-a59d-8a4f25fc6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af8a24-ff0e-4157-ac20-a0666e59e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8015b-8f95-4599-8043-5fe6ee03cd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3b8887-9df8-46f4-8f32-6ece7b051c68}" ma:internalName="TaxCatchAll" ma:showField="CatchAllData" ma:web="fb78015b-8f95-4599-8043-5fe6ee03c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B6E1-59F3-403E-89AC-AB49E704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629B5-606F-4FB0-89D6-BD75EB907D41}">
  <ds:schemaRefs>
    <ds:schemaRef ds:uri="http://schemas.microsoft.com/office/2006/metadata/properties"/>
    <ds:schemaRef ds:uri="http://schemas.microsoft.com/office/infopath/2007/PartnerControls"/>
    <ds:schemaRef ds:uri="fb78015b-8f95-4599-8043-5fe6ee03cde8"/>
    <ds:schemaRef ds:uri="3f0e2545-97e0-4920-a59d-8a4f25fc6e91"/>
  </ds:schemaRefs>
</ds:datastoreItem>
</file>

<file path=customXml/itemProps3.xml><?xml version="1.0" encoding="utf-8"?>
<ds:datastoreItem xmlns:ds="http://schemas.openxmlformats.org/officeDocument/2006/customXml" ds:itemID="{DA90A2E3-A0A4-4C93-A8A2-F84D6F992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e2545-97e0-4920-a59d-8a4f25fc6e91"/>
    <ds:schemaRef ds:uri="fb78015b-8f95-4599-8043-5fe6ee03c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2811</Characters>
  <Application>Microsoft Office Word</Application>
  <DocSecurity>0</DocSecurity>
  <Lines>57</Lines>
  <Paragraphs>32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Daron Oram</dc:creator>
  <cp:keywords/>
  <dc:description/>
  <cp:lastModifiedBy>Daron Oram</cp:lastModifiedBy>
  <cp:revision>20</cp:revision>
  <dcterms:created xsi:type="dcterms:W3CDTF">2025-05-02T13:19:00Z</dcterms:created>
  <dcterms:modified xsi:type="dcterms:W3CDTF">2025-12-29T16:56:00Z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0x010100B967380F155FE64996545B568B24618E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